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Saintil Merline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3881 MCGOWEN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90808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Rocket Lab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RKLB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261,903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2,482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261,903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261,903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transferred by the Reporting Person, without consideration, to the Reporting Person's revocable living trust, of which the Reporting Person is a trustee and the Reporting Person and her immediate family are beneficiaries, for estate planning purposes. The Reporting Person retains an indirect pecuniary interest in the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Held by the Trust of which the Reporting Person is a trustee.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Arjun Kampani, as Attorney-in-Fact For: Merline Saintil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9497" TargetMode="External"/><Relationship Id="rId5" Type="http://schemas.openxmlformats.org/officeDocument/2006/relationships/hyperlink" Target="http://www.sec.gov/cgi-bin/browse-edgar?action=getcompany&amp;CIK=0001819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3474</Characters>
  <CharactersWithSpaces>4036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