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Spice Adam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1,296,124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67,257</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62.2564</w:t>
            </w: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1,228,867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72,900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62.9704</w:t>
            </w:r>
            <w:r>
              <w:rPr>
                <w:rFonts w:ascii="Times;serif" w:hAnsi="Times;serif"/>
                <w:color w:val="008000"/>
                <w:position w:val="7"/>
                <w:sz w:val="16"/>
                <w:sz w:val="20"/>
                <w:shd w:fill="FFFFFF" w:val="clear"/>
              </w:rPr>
              <w:t>(3)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1,155,967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140,157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2,382,668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which occurred automatically pursuant to a Rule 10b5-1 trading plan adopted by the Reporting Person on June 03,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$61.5900 to $62.5800.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These shares were sold in multiple transactions at prices ranging from $62.5900 to $63.4700.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was granted on August 3, 2018, and had a vesting commencement date of May 25, 2018. 1/4 of the shares subject to the stock option vest on the one year anniversary of the vesting commencement date, and 1/48 of the shares subject to the stock option vest on a monthly basis each month thereafter, subject, in each case, to the reporting person's continued service relationship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Arjun Kampani, as Attorney-in-Fact For: Adam Spice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21"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847</Words>
  <Characters>4550</Characters>
  <CharactersWithSpaces>5295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