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660" w:right="1860" w:hanging="3648"/>
        <w:spacing w:after="0" w:line="307"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jc w:val="center"/>
        <w:ind w:right="186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001-39560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ROCKET LAB CORPORATION</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2" w:lineRule="exact"/>
        <w:rPr>
          <w:sz w:val="24"/>
          <w:szCs w:val="24"/>
          <w:color w:val="auto"/>
        </w:rPr>
      </w:pPr>
    </w:p>
    <w:tbl>
      <w:tblPr>
        <w:tblLayout w:type="fixed"/>
        <w:tblInd w:w="1620" w:type="dxa"/>
        <w:tblCellMar>
          <w:top w:w="0" w:type="dxa"/>
          <w:left w:w="0" w:type="dxa"/>
          <w:bottom w:w="0" w:type="dxa"/>
          <w:right w:w="0" w:type="dxa"/>
        </w:tblCellMar>
      </w:tblPr>
      <w:tr>
        <w:trPr>
          <w:trHeight w:val="190"/>
        </w:trPr>
        <w:tc>
          <w:tcPr>
            <w:tcW w:w="4320" w:type="dxa"/>
            <w:vAlign w:val="bottom"/>
          </w:tcPr>
          <w:p>
            <w:pPr>
              <w:jc w:val="center"/>
              <w:ind w:right="18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39-2182599</w:t>
            </w:r>
          </w:p>
        </w:tc>
      </w:tr>
      <w:tr>
        <w:trPr>
          <w:trHeight w:val="215"/>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3881 McGowen Street</w:t>
            </w:r>
          </w:p>
        </w:tc>
        <w:tc>
          <w:tcPr>
            <w:tcW w:w="304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90808</w:t>
            </w:r>
          </w:p>
        </w:tc>
      </w:tr>
      <w:tr>
        <w:trPr>
          <w:trHeight w:val="190"/>
        </w:trPr>
        <w:tc>
          <w:tcPr>
            <w:tcW w:w="4320" w:type="dxa"/>
            <w:vAlign w:val="bottom"/>
          </w:tcPr>
          <w:p>
            <w:pPr>
              <w:jc w:val="center"/>
              <w:ind w:right="1848"/>
              <w:spacing w:after="0"/>
              <w:rPr>
                <w:sz w:val="20"/>
                <w:szCs w:val="20"/>
                <w:color w:val="auto"/>
              </w:rPr>
            </w:pPr>
            <w:r>
              <w:rPr>
                <w:rFonts w:ascii="Times New Roman" w:cs="Times New Roman" w:eastAsia="Times New Roman" w:hAnsi="Times New Roman"/>
                <w:sz w:val="14"/>
                <w:szCs w:val="14"/>
                <w:b w:val="1"/>
                <w:bCs w:val="1"/>
                <w:color w:val="auto"/>
              </w:rPr>
              <w:t>Long Beach, California</w:t>
            </w:r>
          </w:p>
        </w:tc>
        <w:tc>
          <w:tcPr>
            <w:tcW w:w="3040" w:type="dxa"/>
            <w:vAlign w:val="bottom"/>
          </w:tcPr>
          <w:p>
            <w:pPr>
              <w:spacing w:after="0"/>
              <w:rPr>
                <w:sz w:val="16"/>
                <w:szCs w:val="16"/>
                <w:color w:val="auto"/>
              </w:rPr>
            </w:pPr>
          </w:p>
        </w:tc>
      </w:tr>
      <w:tr>
        <w:trPr>
          <w:trHeight w:val="230"/>
        </w:trPr>
        <w:tc>
          <w:tcPr>
            <w:tcW w:w="4320" w:type="dxa"/>
            <w:vAlign w:val="bottom"/>
          </w:tcPr>
          <w:p>
            <w:pPr>
              <w:jc w:val="center"/>
              <w:ind w:right="1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465-5737</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20" w:type="dxa"/>
            <w:vAlign w:val="bottom"/>
          </w:tcPr>
          <w:p>
            <w:pPr>
              <w:spacing w:after="0"/>
              <w:rPr>
                <w:sz w:val="15"/>
                <w:szCs w:val="15"/>
                <w:color w:val="auto"/>
              </w:rPr>
            </w:pPr>
          </w:p>
        </w:tc>
      </w:tr>
      <w:tr>
        <w:trPr>
          <w:trHeight w:val="190"/>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186"/>
        </w:trPr>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RKLB</w:t>
            </w:r>
          </w:p>
        </w:tc>
        <w:tc>
          <w:tcPr>
            <w:tcW w:w="4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44"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Accelerated filer</w:t>
      </w:r>
    </w:p>
    <w:p>
      <w:pPr>
        <w:spacing w:after="0" w:line="231" w:lineRule="exact"/>
        <w:rPr>
          <w:sz w:val="24"/>
          <w:szCs w:val="24"/>
          <w:color w:val="auto"/>
        </w:rPr>
      </w:pPr>
    </w:p>
    <w:p>
      <w:pPr>
        <w:ind w:left="20"/>
        <w:spacing w:after="0"/>
        <w:tabs>
          <w:tab w:leader="none" w:pos="2560" w:val="left"/>
          <w:tab w:leader="none" w:pos="81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231"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4"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3040"/>
        <w:spacing w:after="0" w:line="4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November 5, 2025, the registrant had 534,156,333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ectPr>
          <w:pgSz w:w="11900" w:h="16838" w:orient="portrait"/>
          <w:cols w:equalWidth="0" w:num="2">
            <w:col w:w="10680" w:space="340"/>
            <w:col w:w="22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The information included in this Quarterly Report on Form 10-Q has been provided by us and our management, and such forward-looking statements include statements relating to the expectations, hopes, beliefs, intentions or strategies regarding the future of Rocket Lab Corporation (the “Company”) and its management team.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 forward-looking statements contained in this Quarterly Report on Form 10-Q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w:t>
      </w:r>
    </w:p>
    <w:p>
      <w:pPr>
        <w:spacing w:after="0" w:line="82" w:lineRule="exact"/>
        <w:rPr>
          <w:sz w:val="20"/>
          <w:szCs w:val="20"/>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and achieve operational efficiencies;</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56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our Neutron Launch Vehicle (“Neutron”) or significant delays in developing Neutron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spacing w:after="0" w:line="53"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spacecraft, space systems or space system components failing to operate as intended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53"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priorities, regulations, mandates or funding for programs in which we or our customers participate, which could negatively impact our business;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including tariffs;</w:t>
      </w:r>
    </w:p>
    <w:p>
      <w:pPr>
        <w:spacing w:after="0" w:line="117"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53" w:lineRule="exact"/>
        <w:rPr>
          <w:rFonts w:ascii="Times New Roman" w:cs="Times New Roman" w:eastAsia="Times New Roman" w:hAnsi="Times New Roman"/>
          <w:sz w:val="18"/>
          <w:szCs w:val="18"/>
          <w:color w:val="auto"/>
        </w:rPr>
      </w:pPr>
    </w:p>
    <w:p>
      <w:pPr>
        <w:ind w:left="820" w:right="48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comply with, and costs associated with complying, any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officers, key employees or directors, and our ability to attract and retain key personnel, including Sir Peter Beck, our President, Chief Executive Officer and Chairman;</w:t>
      </w:r>
    </w:p>
    <w:p>
      <w:pPr>
        <w:spacing w:after="0" w:line="53" w:lineRule="exact"/>
        <w:rPr>
          <w:rFonts w:ascii="Times New Roman" w:cs="Times New Roman" w:eastAsia="Times New Roman" w:hAnsi="Times New Roman"/>
          <w:sz w:val="18"/>
          <w:szCs w:val="18"/>
          <w:color w:val="auto"/>
        </w:rPr>
      </w:pPr>
    </w:p>
    <w:p>
      <w:pPr>
        <w:ind w:left="820" w:right="160" w:hanging="326"/>
        <w:spacing w:after="0" w:line="312" w:lineRule="auto"/>
        <w:tabs>
          <w:tab w:leader="none" w:pos="81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to protect intellectual property;</w:t>
      </w:r>
    </w:p>
    <w:p>
      <w:pPr>
        <w:spacing w:after="0" w:line="117"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of key raw materials or components used to produce our products or increases in prices of raw materials, including restrictions on our ability to obtain rare earth minerals;</w:t>
      </w:r>
    </w:p>
    <w:p>
      <w:pPr>
        <w:spacing w:after="0" w:line="5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our business plans, forecasts and other expectations, including the integration of recently acquired businesses, and to identify and realize additional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right="16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and consumption of resources as a result of acquisitions of other companies and success in integrating and otherwise achieving the benefits of recent and potential acquisitions;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integrate or benefit from recently purchased assets or businesses;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inflation and interest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wars in Ukraine, Israel, Iran or other global conflicts;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government and commercial launch services and spacecraft industries;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the markets for rocket launch services, mission services, spacecraft and spacecraft components;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failure to comply with contractual requirements or covenants;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operational and financial resources or raise additional capital or generate sufficient cash flows;</w:t>
      </w:r>
    </w:p>
    <w:p>
      <w:pPr>
        <w:spacing w:after="0" w:line="117"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unauthorized access to our computer systems or those of third parties that we utilize in our operations, including those relating to cybersecurity or arising from cyber-attacks;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Quarterly Report on Form 10-Q entitled “Risk Factors.”</w:t>
      </w:r>
    </w:p>
    <w:p>
      <w:pPr>
        <w:spacing w:after="0" w:line="1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 All forward-looking statements are qualified in their entirety by this cautionary statement.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You should also note that we may announce material business and financial information to our investors using our website (including at https://investors.rocketlabcorp.com),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Quarterly Report on Form 10-Q.</w:t>
      </w:r>
    </w:p>
    <w:p>
      <w:pPr>
        <w:spacing w:after="0" w:line="8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“Rocket Lab,” “Company,” “we,” “us” and “our” refer to Rocket Lab Corporation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340" w:type="dxa"/>
            <w:vAlign w:val="bottom"/>
            <w:gridSpan w:val="18"/>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6000" w:type="dxa"/>
            <w:vAlign w:val="bottom"/>
            <w:gridSpan w:val="8"/>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(unaudited) and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 for the Three and Nine Months Ended</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 for the Three and Nine Months Ended</w:t>
            </w:r>
          </w:p>
        </w:tc>
        <w:tc>
          <w:tcPr>
            <w:tcW w:w="40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Nine Months Ended September 30, 2025 and 2024</w:t>
            </w:r>
          </w:p>
        </w:tc>
        <w:tc>
          <w:tcPr>
            <w:tcW w:w="500" w:type="dxa"/>
            <w:vAlign w:val="bottom"/>
            <w:gridSpan w:val="3"/>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440" w:type="dxa"/>
            <w:vAlign w:val="bottom"/>
            <w:gridSpan w:val="6"/>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gridSpan w:val="5"/>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7"/>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320" w:type="dxa"/>
            <w:vAlign w:val="bottom"/>
            <w:gridSpan w:val="12"/>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020" w:type="dxa"/>
            <w:vAlign w:val="bottom"/>
            <w:gridSpan w:val="14"/>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w:t>
            </w:r>
          </w:p>
        </w:tc>
        <w:tc>
          <w:tcPr>
            <w:tcW w:w="6520" w:type="dxa"/>
            <w:vAlign w:val="bottom"/>
            <w:gridSpan w:val="9"/>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960" w:type="dxa"/>
            <w:vAlign w:val="bottom"/>
            <w:gridSpan w:val="10"/>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80" w:type="dxa"/>
            <w:vAlign w:val="bottom"/>
            <w:gridSpan w:val="13"/>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40" w:type="dxa"/>
            <w:vAlign w:val="bottom"/>
            <w:gridSpan w:val="15"/>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12"/>
          </w:tcPr>
          <w:p>
            <w:pPr>
              <w:ind w:left="452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8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8"/>
        </w:trPr>
        <w:tc>
          <w:tcPr>
            <w:tcW w:w="1360" w:type="dxa"/>
            <w:vAlign w:val="bottom"/>
          </w:tcPr>
          <w:p>
            <w:pPr>
              <w:spacing w:after="0"/>
              <w:rPr>
                <w:sz w:val="21"/>
                <w:szCs w:val="21"/>
                <w:color w:val="auto"/>
              </w:rPr>
            </w:pP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AS OF SEPTEMBER 30, 2025 AND DECEMBER 31, 2024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values)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2"/>
        </w:trPr>
        <w:tc>
          <w:tcPr>
            <w:tcW w:w="13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807,875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271,042</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147,948</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63,108</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144,999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119,074</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55,009</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1,316,423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692,621</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278,003</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194,838</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217,709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53,664</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14,396</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60,686</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31,210</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2,221,395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1,184,342</w:t>
            </w:r>
          </w:p>
        </w:tc>
      </w:tr>
      <w:tr>
        <w:trPr>
          <w:trHeight w:val="27"/>
        </w:trPr>
        <w:tc>
          <w:tcPr>
            <w:tcW w:w="844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70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53,059</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benefits payable</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installments of long-term borrowings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414,457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339,525</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347,014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345,392</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borrowings, net, excluding current installments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44,049</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86,505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51,965</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940,409</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801,889</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25"/>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$0.0001 par value; authorized shares: 100,000,000; issued and outstanding shares: 45,951,250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0 at September 30, 2025 and December 31, 2024, 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Common stock, $0.0001 par value; authorized shares: 2,500,000,000; issued shares: 542,175,866 and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6"/>
        </w:trPr>
        <w:tc>
          <w:tcPr>
            <w:tcW w:w="8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504,453,785 at September 30, 2025 and December 31, 2024, respectively; outstanding shares: 496,224,616 and</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41"/>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504,453,785 at September 30, 2025 and December 31, 2024, respectively</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at cost; shares: 45,951,250 and 0 at September 30, 2025 and December 31, 2024, respectively</w:t>
            </w: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2,241,982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1,198,909</w:t>
            </w:r>
          </w:p>
        </w:tc>
      </w:tr>
      <w:tr>
        <w:trPr>
          <w:trHeight w:val="24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(813,701)</w:t>
            </w:r>
          </w:p>
        </w:tc>
      </w:tr>
      <w:tr>
        <w:trPr>
          <w:trHeight w:val="27"/>
        </w:trPr>
        <w:tc>
          <w:tcPr>
            <w:tcW w:w="8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1,280,986</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382,453</w:t>
            </w:r>
          </w:p>
        </w:tc>
      </w:tr>
      <w:tr>
        <w:trPr>
          <w:trHeight w:val="27"/>
        </w:trPr>
        <w:tc>
          <w:tcPr>
            <w:tcW w:w="8440" w:type="dxa"/>
            <w:vAlign w:val="bottom"/>
            <w:tcBorders>
              <w:bottom w:val="single" w:sz="8" w:color="CFF0FC"/>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2,221,395</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1,184,342</w:t>
            </w: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7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121" w:right="1440"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81"/>
        </w:trPr>
        <w:tc>
          <w:tcPr>
            <w:tcW w:w="1360" w:type="dxa"/>
            <w:vAlign w:val="bottom"/>
            <w:tcBorders>
              <w:top w:val="single" w:sz="8" w:color="0000FF"/>
            </w:tcBorders>
          </w:tcPr>
          <w:p>
            <w:pPr>
              <w:spacing w:after="0"/>
              <w:rPr>
                <w:sz w:val="24"/>
                <w:szCs w:val="24"/>
                <w:color w:val="auto"/>
              </w:rPr>
            </w:pPr>
          </w:p>
        </w:tc>
        <w:tc>
          <w:tcPr>
            <w:tcW w:w="724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600" w:type="dxa"/>
            <w:vAlign w:val="bottom"/>
            <w:gridSpan w:val="10"/>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600" w:type="dxa"/>
            <w:vAlign w:val="bottom"/>
            <w:gridSpan w:val="10"/>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2025 AND 2024</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24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4"/>
        </w:trPr>
        <w:tc>
          <w:tcPr>
            <w:tcW w:w="1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5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1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86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79,419</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205,848</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51,038</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144,576</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97,978</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422,147</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303,826</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153,215</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94,796</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71,279</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283,198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224,494</w:t>
            </w:r>
          </w:p>
        </w:tc>
      </w:tr>
      <w:tr>
        <w:trPr>
          <w:trHeight w:val="27"/>
        </w:trPr>
        <w:tc>
          <w:tcPr>
            <w:tcW w:w="586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138,949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79,332</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191,937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126,139</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r>
      <w:tr>
        <w:trPr>
          <w:trHeight w:val="27"/>
        </w:trPr>
        <w:tc>
          <w:tcPr>
            <w:tcW w:w="586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116,283</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79,895</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316,745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217,584</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(51,899)</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(138,252)</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7"/>
        </w:trPr>
        <w:tc>
          <w:tcPr>
            <w:tcW w:w="586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(137,741)</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38,966</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(51,939)</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(137,830)</w:t>
            </w:r>
          </w:p>
        </w:tc>
      </w:tr>
      <w:tr>
        <w:trPr>
          <w:trHeight w:val="27"/>
        </w:trPr>
        <w:tc>
          <w:tcPr>
            <w:tcW w:w="5860" w:type="dxa"/>
            <w:vAlign w:val="bottom"/>
            <w:tcBorders>
              <w:bottom w:val="single" w:sz="8" w:color="CFF0FC"/>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w:t>
            </w: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(144,545)</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(137,054)</w:t>
            </w:r>
          </w:p>
        </w:tc>
      </w:tr>
      <w:tr>
        <w:trPr>
          <w:trHeight w:val="27"/>
        </w:trPr>
        <w:tc>
          <w:tcPr>
            <w:tcW w:w="58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45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Rocket Lab Corporation:</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58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CFF0FC"/>
            </w:tcBorders>
          </w:tcPr>
          <w:p>
            <w:pPr>
              <w:spacing w:after="0" w:line="20" w:lineRule="exact"/>
              <w:rPr>
                <w:sz w:val="1"/>
                <w:szCs w:val="1"/>
                <w:color w:val="auto"/>
              </w:rPr>
            </w:pPr>
          </w:p>
        </w:tc>
        <w:tc>
          <w:tcPr>
            <w:tcW w:w="45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528,725,980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497,701,715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516,560,266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493,976,025</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ROCKET LAB CORPORATION, INC. AND SUBSIDIARIES CONDENSED CONSOLIDATED STATEMENTS OF CHANGES IN STOCKHOLDERS’ EQUITY FOR THE THREE AND NINE MONTHS ENDED SEPTEMBER 30, 2025 AND 2024 (unaudited; 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5"/>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FF0FC"/>
            </w:tcBorders>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504,453,785</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99"/>
              </w:rPr>
              <w:t>50</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1,198,909</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(813,701)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382,453</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2,179,607</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18,871</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80" w:type="dxa"/>
            <w:vAlign w:val="bottom"/>
            <w:shd w:val="clear" w:color="auto" w:fill="CFF0FC"/>
          </w:tcPr>
          <w:p>
            <w:pPr>
              <w:spacing w:after="0"/>
              <w:rPr>
                <w:sz w:val="15"/>
                <w:szCs w:val="15"/>
                <w:color w:val="auto"/>
              </w:rPr>
            </w:pPr>
          </w:p>
        </w:tc>
        <w:tc>
          <w:tcPr>
            <w:tcW w:w="7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4,858,839</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3"/>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90,102</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90,103</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8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3"/>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gridSpan w:val="3"/>
            <w:vMerge w:val="continue"/>
            <w:shd w:val="clear" w:color="auto" w:fill="CFF0FC"/>
          </w:tcPr>
          <w:p>
            <w:pPr>
              <w:spacing w:after="0"/>
              <w:rPr>
                <w:sz w:val="16"/>
                <w:szCs w:val="16"/>
                <w:color w:val="auto"/>
              </w:rPr>
            </w:pPr>
          </w:p>
        </w:tc>
        <w:tc>
          <w:tcPr>
            <w:tcW w:w="760" w:type="dxa"/>
            <w:vAlign w:val="bottom"/>
            <w:tcBorders>
              <w:bottom w:val="single" w:sz="8" w:color="CFF0FC"/>
            </w:tcBorders>
            <w:gridSpan w:val="2"/>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3"/>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Exchange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511,492,231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(50,951,250)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1,307,930</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(874,317)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431,294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(66,414)</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(66,414)</w:t>
            </w: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3,502,374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18,707</w:t>
            </w: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ATM Equity Offering, net of issuance</w:t>
            </w:r>
          </w:p>
        </w:tc>
        <w:tc>
          <w:tcPr>
            <w:tcW w:w="80" w:type="dxa"/>
            <w:vAlign w:val="bottom"/>
          </w:tcPr>
          <w:p>
            <w:pPr>
              <w:spacing w:after="0"/>
              <w:rPr>
                <w:sz w:val="15"/>
                <w:szCs w:val="15"/>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10,283,294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296,959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296,960</w:t>
            </w:r>
          </w:p>
        </w:tc>
        <w:tc>
          <w:tcPr>
            <w:tcW w:w="0" w:type="dxa"/>
            <w:vAlign w:val="bottom"/>
          </w:tcPr>
          <w:p>
            <w:pPr>
              <w:spacing w:after="0"/>
              <w:rPr>
                <w:sz w:val="1"/>
                <w:szCs w:val="1"/>
                <w:color w:val="auto"/>
              </w:rPr>
            </w:pPr>
          </w:p>
        </w:tc>
      </w:tr>
      <w:tr>
        <w:trPr>
          <w:trHeight w:val="188"/>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Preferred Stock conversion</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FF0FC"/>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525,277,899</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99"/>
              </w:rPr>
              <w:t>48</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1,628,458</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(940,731)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688,485</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4,248,540</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ATM Equity Offerings, net of</w:t>
            </w:r>
          </w:p>
        </w:tc>
        <w:tc>
          <w:tcPr>
            <w:tcW w:w="80" w:type="dxa"/>
            <w:vAlign w:val="bottom"/>
            <w:shd w:val="clear" w:color="auto" w:fill="CFF0FC"/>
          </w:tcPr>
          <w:p>
            <w:pPr>
              <w:spacing w:after="0"/>
              <w:rPr>
                <w:sz w:val="15"/>
                <w:szCs w:val="15"/>
                <w:color w:val="auto"/>
              </w:rPr>
            </w:pPr>
          </w:p>
        </w:tc>
        <w:tc>
          <w:tcPr>
            <w:tcW w:w="7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9,591,839</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3"/>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458,065</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458,066</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costs</w:t>
            </w:r>
          </w:p>
        </w:tc>
        <w:tc>
          <w:tcPr>
            <w:tcW w:w="8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3"/>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gridSpan w:val="3"/>
            <w:vMerge w:val="continue"/>
            <w:shd w:val="clear" w:color="auto" w:fill="CFF0FC"/>
          </w:tcPr>
          <w:p>
            <w:pPr>
              <w:spacing w:after="0"/>
              <w:rPr>
                <w:sz w:val="16"/>
                <w:szCs w:val="16"/>
                <w:color w:val="auto"/>
              </w:rPr>
            </w:pPr>
          </w:p>
        </w:tc>
        <w:tc>
          <w:tcPr>
            <w:tcW w:w="760" w:type="dxa"/>
            <w:vAlign w:val="bottom"/>
            <w:tcBorders>
              <w:bottom w:val="single" w:sz="8" w:color="CFF0FC"/>
            </w:tcBorders>
            <w:gridSpan w:val="2"/>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3"/>
            <w:vMerge w:val="continue"/>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w:t>
            </w:r>
          </w:p>
        </w:tc>
        <w:tc>
          <w:tcPr>
            <w:tcW w:w="8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3,057,588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137,653</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top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542,175,866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top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(45,951,250)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2,241,982</w:t>
            </w:r>
          </w:p>
        </w:tc>
        <w:tc>
          <w:tcPr>
            <w:tcW w:w="80" w:type="dxa"/>
            <w:vAlign w:val="bottom"/>
          </w:tcPr>
          <w:p>
            <w:pPr>
              <w:spacing w:after="0"/>
              <w:rPr>
                <w:sz w:val="16"/>
                <w:szCs w:val="16"/>
                <w:color w:val="auto"/>
              </w:rPr>
            </w:pP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(958,988)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1,280,986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940" w:type="dxa"/>
            <w:vAlign w:val="bottom"/>
            <w:gridSpan w:val="3"/>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488,923,055</w:t>
            </w: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1,176,484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(623,526)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554,544</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(44,260)</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3,747,661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14,225</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of capped calls</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(43,168)</w:t>
            </w: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492,670,716</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1,148,484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478,946</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3,639,159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190,974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37"/>
        </w:trPr>
        <w:tc>
          <w:tcPr>
            <w:tcW w:w="2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496,500,849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1,165,322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455,180</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(51,939)</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plans</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3,200,127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72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499,700,976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1,178,828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(761,356)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419,835</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781"/>
        </w:trPr>
        <w:tc>
          <w:tcPr>
            <w:tcW w:w="1360" w:type="dxa"/>
            <w:vAlign w:val="bottom"/>
            <w:tcBorders>
              <w:top w:val="single" w:sz="8" w:color="0000FF"/>
            </w:tcBorders>
          </w:tcPr>
          <w:p>
            <w:pPr>
              <w:spacing w:after="0"/>
              <w:rPr>
                <w:sz w:val="24"/>
                <w:szCs w:val="24"/>
                <w:color w:val="auto"/>
              </w:rPr>
            </w:pPr>
          </w:p>
        </w:tc>
        <w:tc>
          <w:tcPr>
            <w:tcW w:w="65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ROCKET LAB CORPORATION AND SUBSIDIARIES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10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710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2025 AND 2024</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5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8"/>
        </w:trPr>
        <w:tc>
          <w:tcPr>
            <w:tcW w:w="136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32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38"/>
        </w:trPr>
        <w:tc>
          <w:tcPr>
            <w:tcW w:w="1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24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Borders>
              <w:bottom w:val="single" w:sz="8" w:color="CFF0FC"/>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(137,830)</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39,944</w:t>
            </w: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5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5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Accretion of marketable securities purchased at a discount</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4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Contract assets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(36,510)</w:t>
            </w: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Trade payables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13,853</w:t>
            </w: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Employee benefits payables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Contract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27,791</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43"/>
        </w:trPr>
        <w:tc>
          <w:tcPr>
            <w:tcW w:w="79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(46,503)</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(45,539)</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on disposal of assets, net</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Cash paid for business combination, net of acquired cash</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(187,780)</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(149,548)</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102,930</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(80,401)</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ATM Equity Offerings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Issuance costs related to ATM Equity Offerings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sale of employees restricted stock units to cover taxes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Minimum tax withholding paid on behalf of employees for restricted stock units</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(65,672)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 of capped calls related to issuance of convertible senior notes</w:t>
            </w:r>
          </w:p>
        </w:tc>
        <w:tc>
          <w:tcPr>
            <w:tcW w:w="5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convertible senior notes</w:t>
            </w:r>
          </w:p>
        </w:tc>
        <w:tc>
          <w:tcPr>
            <w:tcW w:w="5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355,000</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secured term loans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Repayments on secured term loan</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(48,853)</w:t>
            </w:r>
          </w:p>
        </w:tc>
      </w:tr>
      <w:tr>
        <w:trPr>
          <w:trHeight w:val="243"/>
        </w:trPr>
        <w:tc>
          <w:tcPr>
            <w:tcW w:w="7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881,734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256,499</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537,408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130,358</w:t>
            </w:r>
          </w:p>
        </w:tc>
      </w:tr>
      <w:tr>
        <w:trPr>
          <w:trHeight w:val="27"/>
        </w:trPr>
        <w:tc>
          <w:tcPr>
            <w:tcW w:w="79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5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275,302</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166,434</w:t>
            </w:r>
          </w:p>
        </w:tc>
      </w:tr>
      <w:tr>
        <w:trPr>
          <w:trHeight w:val="23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812,710</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296,792</w:t>
            </w:r>
          </w:p>
        </w:tc>
      </w:tr>
      <w:tr>
        <w:trPr>
          <w:trHeight w:val="27"/>
        </w:trPr>
        <w:tc>
          <w:tcPr>
            <w:tcW w:w="1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ectPr>
          <w:pgSz w:w="11900" w:h="16900" w:orient="portrait"/>
          <w:cols w:equalWidth="0" w:num="1">
            <w:col w:w="11220"/>
          </w:cols>
          <w:pgMar w:left="320" w:top="108" w:right="359" w:bottom="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t>SUPPLEMENTAL DISCLOSURE OF CASH FLOW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w:t>
            </w: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21,892</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r>
      <w:tr>
        <w:trPr>
          <w:trHeight w:val="27"/>
        </w:trPr>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Unpaid purchases of property, equipment and software</w:t>
            </w:r>
          </w:p>
        </w:tc>
        <w:tc>
          <w:tcPr>
            <w:tcW w:w="8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9,933</w:t>
            </w: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43"/>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36,652</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Issuance of common stock for payment of accrued bonus</w:t>
            </w:r>
          </w:p>
        </w:tc>
        <w:tc>
          <w:tcPr>
            <w:tcW w:w="8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43"/>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issuance costs in connection with ATM Equity Offerings</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Common stock issued in acquisition, at fair value</w:t>
            </w:r>
          </w:p>
        </w:tc>
        <w:tc>
          <w:tcPr>
            <w:tcW w:w="8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137,653</w:t>
            </w:r>
          </w:p>
        </w:tc>
        <w:tc>
          <w:tcPr>
            <w:tcW w:w="6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43"/>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Contingent consideration assumed at acquisition</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18,258</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ROCKET LAB CORPORATION AND SUBSIDIARIES</w:t>
      </w:r>
    </w:p>
    <w:p>
      <w:pPr>
        <w:spacing w:after="0" w:line="31" w:lineRule="exact"/>
        <w:rPr>
          <w:sz w:val="20"/>
          <w:szCs w:val="20"/>
          <w:color w:val="auto"/>
        </w:rPr>
      </w:pPr>
    </w:p>
    <w:p>
      <w:pPr>
        <w:jc w:val="center"/>
        <w:ind w:left="360" w:right="2640"/>
        <w:spacing w:after="0" w:line="25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AS OF SEPTEMBER 30, 2025 AND DECEMBER 31, 2024 AND FOR THE THREE AND NINE MONTHS ENDED SEPTEMBER 30, 2025 AND 2024 (unaudited; in thousands, except share and per share data)</w:t>
      </w:r>
    </w:p>
    <w:p>
      <w:pPr>
        <w:spacing w:after="0" w:line="77"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Rocket Lab Corporation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manufacture of small-class launch vehicles and related sale of launch services, we are currently innovating in the areas of medium-class launch vehicle and launch services, space systems design and manufacturing, on-orbit management solutions, and space data applications.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Consummation of Holding Company Reorganization</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May 8, 2025, Rocket Lab USA, Inc., a Delaware corporation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w:t>
      </w:r>
    </w:p>
    <w:p>
      <w:pPr>
        <w:spacing w:after="0" w:line="75"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Principals of Consolidation and Basis of Presentation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conformity with accounting standards generally accepted in the United States of America (“U.S. GAAP”) and the requirements of the SEC for interim financial information and include the accounts of Rocket Lab Corporation and its wholly owned subsidiaries after elimination of intercompany accounts and transactions. As permitted under those rules, certain footnotes or other financial information that are normally required by U.S. GAAP can be condensed or omitted. The Reorganization was accounted for as a reorganization of entities under common control, and as such, the consolidated financial statements reflect the Reorganization as if it had occurred at the beginning of the earliest period presented. These condensed consolidated financial statements have been prepared on the same basis as the annual consolidated financial statements and, in the opinion of management, reflect all adjustments, consisting only of normal recurring adjustments, which are necessary for the fair statement of the Company’s financial information. Certain amounts in the Company’s prior period condensed consolidated financial statements have been reclassified to conform to the current period presentation. These interim results are not necessarily indicative of the results to be expected for the fiscal year ending December 31, 2025, or for any other interim period or for any other future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an ongoing basis, our management evaluates estimates and assumptions including those related to revenue recognition, contract costs, loss reserves, valuation of stock-based compensation, deferred tax valuation allowances, goodwill, intangible assets and contingent consideration.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the Company’s significant accounting policies during the nine months ended September 30, 2025, except for an update of an accounting policy with respect to Revenue Recognition. Refer to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disclosed in the “</w:t>
      </w:r>
      <w:r>
        <w:rPr>
          <w:rFonts w:ascii="Times New Roman" w:cs="Times New Roman" w:eastAsia="Times New Roman" w:hAnsi="Times New Roman"/>
          <w:sz w:val="18"/>
          <w:szCs w:val="18"/>
          <w:i w:val="1"/>
          <w:iCs w:val="1"/>
          <w:color w:val="auto"/>
        </w:rPr>
        <w:t>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in the Company’s Form 10-K for the year ended December 31, 2024, as filed with the SEC on February 27,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by Form 10-K/A filed with the SEC on April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Generally, launch services revenue is recognized at a point-in-time when control transfers upon intentional ignition of the launch or where successful delivery milestones are applicable, such as upon delivery of the spacecraft to the specified orbit. However, launch services revenue is recognized over-time when it is determined that there is no alternative use for a launch vehicle, due to significant economic losses to direct the asset for another use or contractual limitations, and the Company has an enforceable right to payment for the services performed to date including a reasonable profit.</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For launch service revenue recognized over-time, the Company uses an input method, based on costs incurred relative to total estimated costs at completion, to estimate the percentage of completion. The estimation requires judgment and is subject to many variables including but not limited to actual progress and costs incurred, labor productivity, changes in cost and availability of materials.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focuses on the rate reconciliation and income taxes paid. ASU 2023-09 requires a public business entity (“PBE”) to disclose, on an annual basis, a tabular rate reconciliation using both percentages and currency amounts, further disaggregated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jurisdictions, and further by individual jurisdiction if the amount is at least 5% of total income tax payments, net of refunds received. For PBEs, the new standard is effective for annual periods beginning after December 15, 2024, with early adoption permitted. An entity may apply the amendments in ASU 2023-09 prospectively by providing the revised disclosures for the period ending December 31, 2025 and continuing to present the pre-ASU 2023-09 disclosures for the prior periods, or may apply the amendments retrospectively by providing the revised disclosures for all period presented. The Company is currently assessing the potential impact of adopting ASU 2023-09 on its financial statements.</w:t>
      </w:r>
    </w:p>
    <w:p>
      <w:pPr>
        <w:spacing w:after="0" w:line="8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spacing w:after="0" w:line="7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provides information about revenue by recognition model during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recognition model</w:t>
            </w: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7"/>
                <w:szCs w:val="17"/>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recognition model</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Over-time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by recognition model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(presented within contract assets) and customer advances and deposits (presented within contract liabilities) on the condensed consolidated balance sheets, where applicable. Amounts are generally billed as work progresses in accordance with agreed-upon milestones. These individual contract assets and liabilities are reported in a net position on a contract-by-contract basis on the condensed consolidated balance sheets at the end of each reporting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enforceable contracts as of September 30,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(216,160)</w:t>
            </w:r>
          </w:p>
        </w:tc>
        <w:tc>
          <w:tcPr>
            <w:tcW w:w="0" w:type="dxa"/>
            <w:vAlign w:val="bottom"/>
          </w:tcPr>
          <w:p>
            <w:pPr>
              <w:spacing w:after="0"/>
              <w:rPr>
                <w:sz w:val="1"/>
                <w:szCs w:val="1"/>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contract liabilities for the three months ended September 30, 2025 were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June 30, 2025</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 assumed at acquisition</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Customer advances received or billed, net</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September 30, 2025</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208,243</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Changes in contract liabilities for the nine months ended September 30, 2025 were as follows:</w:t>
            </w:r>
          </w:p>
        </w:tc>
        <w:tc>
          <w:tcPr>
            <w:tcW w:w="1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216,160</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 assumed at acquisition</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Customer advances received or billed, net</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156,198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September 30, 2025</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208,243</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revenue recognized from the contract liabilities consisted of the Company satisfying performance obligations during the normal course of business.</w:t>
      </w:r>
    </w:p>
    <w:p>
      <w:pPr>
        <w:spacing w:after="0" w:line="54"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net amount of revenue recognized in the aggregate from changes in the transaction price or estimated costs to complete associated with performance obligations satisfied in prior periods during the three and nine months ended September 30, 2025, was an upward adjustment to revenue of $10,302 and a downward adjustment of $4,712, respectively. For the three and nine months ended September 30, 2024, the impact was not material.</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Included in the upward adjustment for the three months ended September 30, 2025, the Company recorded an upward adjustment to revenue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$13,269 related to an individual contract. This cumulative catch-up adjustment was recorded as a result of incorporating a reliable estimate of the costs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the contract due to unique mission security and launch risks. Included in the downward adjustment for the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Company recorded a downward adjustment to revenue of $10,216 related to an individual contract. This cumulative catch-up adjustment resulted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changes in the estimated costs to complete the contract.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$1,095,977 as of September 30, 2025, of which approximately 57% is expected to be recognized within 12 months, with the remaining 43% to be recognized beyond 12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Company’s customer that accounted for 10% or more of the total accounts receivable, net,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9600" w:type="dxa"/>
            <w:vAlign w:val="bottom"/>
            <w:tcBorders>
              <w:bottom w:val="single" w:sz="8" w:color="CFF0FC"/>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customer</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60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nine months ended September 30, 2025, the Company’s customer that accounted for 10% or more of the total revenue, was: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600" w:type="dxa"/>
            <w:vAlign w:val="bottom"/>
          </w:tcPr>
          <w:p>
            <w:pPr>
              <w:spacing w:after="0"/>
              <w:rPr>
                <w:sz w:val="16"/>
                <w:szCs w:val="16"/>
                <w:color w:val="auto"/>
              </w:rPr>
            </w:pP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51"/>
        </w:trPr>
        <w:tc>
          <w:tcPr>
            <w:tcW w:w="960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customer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6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Financing</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signing of two separate multi-launch agreements with commercial customers, the Company entered into subordinated loan and security agreements. The commercial customers may choose to have certain milestone payments financed under the terms of the subordinated loan and security agreements. The receivables will bear no interest until the initial launch dates passes, after which interest will accrue at a fixed rate of 10.8% or 12.6%, based on the commercial customer. Principal and interest payments will be made over 12 quarterly payments from the launch date.</w:t>
      </w:r>
    </w:p>
    <w:p>
      <w:pPr>
        <w:spacing w:after="0" w:line="7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On July 11, 2025, the Company received a full payoff of $7,489 and terminated the subordinated loan and security agreement with one of the commercial customers.</w:t>
      </w:r>
    </w:p>
    <w:p>
      <w:pPr>
        <w:spacing w:after="0" w:line="54" w:lineRule="exact"/>
        <w:rPr>
          <w:sz w:val="20"/>
          <w:szCs w:val="20"/>
          <w:color w:val="auto"/>
        </w:rPr>
      </w:pPr>
    </w:p>
    <w:p>
      <w:pPr>
        <w:ind w:right="58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$4,500 and $4,200 customer financing receivable in prepaids and other currents assets, respectively and $12,563 and $15,567 customer financing receivable in other non-current assets, respectively, on the condensed consolidated balance sheets. Customer financing interest income for the three and nine months ended September 30, 2025 was $407 and $1,284, respectively. Customer financing interest income for the three and nine months ended September 30, 2024 was $406 and $887, respectively.</w:t>
      </w:r>
    </w:p>
    <w:p>
      <w:pPr>
        <w:spacing w:after="0" w:line="68" w:lineRule="exact"/>
        <w:rPr>
          <w:sz w:val="20"/>
          <w:szCs w:val="20"/>
          <w:color w:val="auto"/>
        </w:rPr>
      </w:pPr>
    </w:p>
    <w:p>
      <w:pPr>
        <w:ind w:right="8500" w:firstLine="8"/>
        <w:spacing w:after="0" w:line="412" w:lineRule="auto"/>
        <w:tabs>
          <w:tab w:leader="none" w:pos="48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GEOST</w:t>
      </w:r>
    </w:p>
    <w:p>
      <w:pPr>
        <w:spacing w:after="0" w:line="4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August 12, 2025, the Company closed the acquisition of GEOST LLC ( “GEOST”) pursuant to a Stock Purchase Agreement (the “GEOST Purchase Agreement”), by and among Rocket Lab USA, LightRidge Solutions Holdings LP (“LightRigde Solutions”), and LightRidge Interco Solutions Holdings, Inc. (“LightRidge Interco”), which provided for, among other things, the Company’s purchase and acquisition of all of the issued and outstanding shares of common stock of LightRidge Interco, the owner of GEOST.</w:t>
      </w:r>
    </w:p>
    <w:p>
      <w:pPr>
        <w:spacing w:after="0" w:line="7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GEOST Purchase Agreement, all of the issued and outstanding shares of LightRidge Interco were purchased in exchange for aggregate consideration of $275,000, consisting of approximately $125,000 in cash and 3,057,588 shares of common stock, subject in each case to customary adjustments at closing, including for cash, working capital, transaction expenses and indebtedness (the “Transaction”). Additionally, the Purchase Agreement provides for up to $50,000 in potential additional post-closing cash earnout payments to LightRidge Solutions tied to revenue targets of the GEOST business for 2026 and 2027. Refer to the table below under “Acquisition Consideration” for additional information.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Consideration</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consideration and the estimates of the preliminary fair value of the assets acquired and the liabilities assumed by the Company in the acquisition:</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Fair value of common stock issued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(2)</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Right-of-use assets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Employee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Identifiable net assets acquired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12, 2025</w:t>
            </w:r>
          </w:p>
        </w:tc>
      </w:tr>
      <w:tr>
        <w:trPr>
          <w:trHeight w:val="27"/>
        </w:trPr>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133,721</w:t>
            </w:r>
          </w:p>
        </w:tc>
      </w:tr>
      <w:tr>
        <w:trPr>
          <w:trHeight w:val="229"/>
        </w:trPr>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137,653</w:t>
            </w:r>
          </w:p>
        </w:tc>
      </w:tr>
      <w:tr>
        <w:trPr>
          <w:trHeight w:val="234"/>
        </w:trPr>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289,632</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77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r>
      <w:tr>
        <w:trPr>
          <w:trHeight w:val="270"/>
        </w:trPr>
        <w:tc>
          <w:tcPr>
            <w:tcW w:w="2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270"/>
        </w:trPr>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(38,394)</w:t>
            </w:r>
          </w:p>
        </w:tc>
      </w:tr>
      <w:tr>
        <w:trPr>
          <w:trHeight w:val="250"/>
        </w:trPr>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142,943</w:t>
            </w:r>
          </w:p>
        </w:tc>
      </w:tr>
      <w:tr>
        <w:trPr>
          <w:trHeight w:val="270"/>
        </w:trPr>
        <w:tc>
          <w:tcPr>
            <w:tcW w:w="2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146,689</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289,632</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ectPr>
          <w:pgSz w:w="11900" w:h="16838" w:orient="portrait"/>
          <w:cols w:equalWidth="0" w:num="2">
            <w:col w:w="8400" w:space="720"/>
            <w:col w:w="2120"/>
          </w:cols>
          <w:pgMar w:left="320" w:top="117" w:right="339" w:bottom="1440" w:gutter="0" w:footer="0" w:header="0"/>
          <w:type w:val="continuous"/>
        </w:sectPr>
      </w:pPr>
    </w:p>
    <w:p>
      <w:pPr>
        <w:ind w:right="4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3,057,588 shares of common stock, with the fair value determined based on the Company’s common stock closing price of $45.02 on August 11, 2025.</w:t>
      </w:r>
    </w:p>
    <w:p>
      <w:pPr>
        <w:ind w:right="10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to be paid in cash, was classified as a liability and included in other non-current liabilities on the Company’s condensed consolidated balance sheets. To estimate the fair value of the contingent consideration liability, management valued the earn-out based on the likelihood of reaching certain revenue targets. At the acquisition date, the fair value of the contingent consideration payable was measured based on a Monte Carlo simulation utilizing projections about future performance. Significant inputs at acquisition include revenue volatility of 29%, discount rate of 10% and projected financial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preliminary identifiable intangible assets acquired and the related expected lives for the finite-lived 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Estimated Life in Years</w:t>
            </w:r>
          </w:p>
        </w:tc>
        <w:tc>
          <w:tcPr>
            <w:tcW w:w="520" w:type="dxa"/>
            <w:vAlign w:val="bottom"/>
          </w:tcPr>
          <w:p>
            <w:pPr>
              <w:spacing w:after="0"/>
              <w:rPr>
                <w:sz w:val="20"/>
                <w:szCs w:val="20"/>
                <w:color w:val="auto"/>
              </w:rPr>
            </w:pPr>
          </w:p>
        </w:tc>
        <w:tc>
          <w:tcPr>
            <w:tcW w:w="21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172,300</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20" w:type="dxa"/>
            <w:vAlign w:val="bottom"/>
            <w:tcBorders>
              <w:bottom w:val="single" w:sz="8" w:color="CCEEFF"/>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4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acquired</w:t>
            </w: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Goodwill of $146,689 was recorded for the GEOST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majority of goodwill is not expected to be deductible for income tax purposes.</w:t>
      </w:r>
    </w:p>
    <w:p>
      <w:pPr>
        <w:spacing w:after="0" w:line="7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operations for the three months ended September 30, 2025 includes revenues and operating loss of $4,998 and $2,140, respectively, related to the GEOST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Period</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measurement period, the Company will continue to obtain information to assist in determining the fair value of net assets acquired, which may differ materially from these preliminary estimates. Specifically, the Company is evaluating outstanding matters, including but not limited to, legal contingencies, other receivables, tax-related items, other assets and projection assumptions. Measurement period adjustments, if applicable, will be applied in the reporting period in which the adjustment amounts are determined.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information summarized in the following table gives effect to the GEOST acquisition assuming it occurred on January 1, 2024. These unaudited consolidated pro forma operating results do not assume any impact from revenue, cost or other operating synergies that are expected as a result of the acquisitions. These unaudited consolidated pro forma operating results are presented for illustrative purposes only and are not indicative of the operating results that would have been achieved had the acquisition occurred on January 1, 2024, nor does the information project results for any future period.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0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157,170</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110,997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441,188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367,634</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95"/>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(28,571)</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(63,395)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(167,141)</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(156,627)</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5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5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and marketable securities consisted of the following as of September 30, 2025 and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75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807,875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271,042</w:t>
            </w: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147,948</w:t>
            </w: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20" w:type="dxa"/>
            <w:vAlign w:val="bottom"/>
            <w:tcBorders>
              <w:bottom w:val="single" w:sz="8" w:color="CFF0FC"/>
            </w:tcBorders>
            <w:shd w:val="clear" w:color="auto" w:fill="CFF0FC"/>
          </w:tcPr>
          <w:p>
            <w:pPr>
              <w:spacing w:after="0"/>
              <w:rPr>
                <w:sz w:val="23"/>
                <w:szCs w:val="23"/>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60,686</w:t>
            </w:r>
          </w:p>
        </w:tc>
      </w:tr>
      <w:tr>
        <w:trPr>
          <w:trHeight w:val="237"/>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and marketable securities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479,676</w:t>
            </w:r>
          </w:p>
        </w:tc>
      </w:tr>
      <w:tr>
        <w:trPr>
          <w:trHeight w:val="27"/>
        </w:trPr>
        <w:tc>
          <w:tcPr>
            <w:tcW w:w="7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cash equivalents and marketable securities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204"/>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tcPr>
          <w:p>
            <w:pPr>
              <w:spacing w:after="0"/>
              <w:rPr>
                <w:sz w:val="17"/>
                <w:szCs w:val="17"/>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37"/>
        </w:trPr>
        <w:tc>
          <w:tcPr>
            <w:tcW w:w="266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687,331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687,331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687,331</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101,323</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Yankee bonds</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w:t>
            </w:r>
          </w:p>
        </w:tc>
      </w:tr>
      <w:tr>
        <w:trPr>
          <w:trHeight w:val="27"/>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61"/>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37,778</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37,778</w:t>
            </w:r>
          </w:p>
        </w:tc>
      </w:tr>
      <w:tr>
        <w:trPr>
          <w:trHeight w:val="237"/>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906,949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907,385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215,067</w:t>
            </w: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marketable securities with unrealized losses by investment category and the length of time the marketable securities have been in a continuous loss position as of September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Loss Position for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Loss Position for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r>
      <w:tr>
        <w:trPr>
          <w:trHeight w:val="213"/>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37"/>
        </w:trPr>
        <w:tc>
          <w:tcPr>
            <w:tcW w:w="27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3"/>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firstLine="486"/>
        <w:spacing w:after="0" w:line="256" w:lineRule="auto"/>
        <w:rPr>
          <w:sz w:val="20"/>
          <w:szCs w:val="20"/>
          <w:color w:val="auto"/>
        </w:rPr>
      </w:pPr>
      <w:r>
        <w:rPr>
          <w:rFonts w:ascii="Times New Roman" w:cs="Times New Roman" w:eastAsia="Times New Roman" w:hAnsi="Times New Roman"/>
          <w:sz w:val="18"/>
          <w:szCs w:val="18"/>
          <w:color w:val="auto"/>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September 30, 2025, the Company had not recognized an allowance for credit losses on any marketable securities in an unrealized loss position.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cash equivalents and marketable securities as of September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FF0FC"/>
            </w:tcBorders>
          </w:tcPr>
          <w:p>
            <w:pPr>
              <w:spacing w:after="0"/>
              <w:rPr>
                <w:sz w:val="2"/>
                <w:szCs w:val="2"/>
                <w:color w:val="auto"/>
              </w:rPr>
            </w:pPr>
          </w:p>
        </w:tc>
        <w:tc>
          <w:tcPr>
            <w:tcW w:w="37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9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860,917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two years</w:t>
            </w:r>
          </w:p>
        </w:tc>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CFF0FC"/>
            </w:tcBorders>
          </w:tcPr>
          <w:p>
            <w:pPr>
              <w:spacing w:after="0"/>
              <w:rPr>
                <w:sz w:val="2"/>
                <w:szCs w:val="2"/>
                <w:color w:val="auto"/>
              </w:rPr>
            </w:pPr>
          </w:p>
        </w:tc>
        <w:tc>
          <w:tcPr>
            <w:tcW w:w="37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9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906,949</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bottom w:val="single" w:sz="8" w:color="CFF0FC"/>
            </w:tcBorders>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following financial assets and liabilities are measured at fair value on a recurring basis and are categorized using the fair value hierarchy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687,331</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687,331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732,592</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174,793</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907,385</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0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211,619</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211,619</w:t>
            </w:r>
          </w:p>
        </w:tc>
      </w:tr>
      <w:tr>
        <w:trPr>
          <w:trHeight w:val="24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57,589</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bonds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28,887</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Yankee bonds</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8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r>
      <w:tr>
        <w:trPr>
          <w:trHeight w:val="23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277,739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142,515</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420,254</w:t>
            </w: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 amounts shown above are not necessarily indicative of the amounts that the Company would realize upon disposition, nor do they indicate the Company’s intent or ability to dispose of the financial instrument.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nine months ended September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contingent consideration liability related to potential earnout payments based on revenue targets pursuant to the GEOST Purchase Agreement. The estimated fair value of the contingent consideration is recorded using significant unobservable measures and other fair value inputs and is therefore classified as a Level 3 financial instrument.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contingent consideration obligations measured on a recurring basis using Level 3 inputs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0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convertible senior notes on a quarterly basis for disclosure purposes. The Company considers the fair value of its convertible senior notes as of September 30, 2025 to be a Level 2 measurement due to limited trading activity of the convertible senior notes. As of September 30, 2025, the net carrying amount of the convertible senior notes was $347,014, with unamortized discount and debt issuance costs of $7,986. As of September 30, 2025, the total estimated fair value (Level 2) of the convertible senior notes was $3,320,549. The fair value was determined based on the closing trading price of the convertible senior notes as of the last day of trading for the period.</w:t>
      </w:r>
    </w:p>
    <w:p>
      <w:pPr>
        <w:spacing w:after="0" w:line="71"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as of September 30, 2025 and December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60,462</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3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119,074</w:t>
            </w:r>
          </w:p>
        </w:tc>
      </w:tr>
      <w:tr>
        <w:trPr>
          <w:trHeight w:val="27"/>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PREPAIDS AND OTHER CURRENT ASSETS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Prepaids and other current assets as of September 30, 2025 and December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financing receivables</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7"/>
        </w:trPr>
        <w:tc>
          <w:tcPr>
            <w:tcW w:w="81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55,009</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as of September 30, 2025 and December 31, 2024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1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equipment, vehicles and office furniture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127,577</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hardware and software</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Launch site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79,950</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27,285</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equipment—gross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(65,585)</w:t>
            </w:r>
          </w:p>
        </w:tc>
      </w:tr>
      <w:tr>
        <w:trPr>
          <w:trHeight w:val="23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194,838</w:t>
            </w:r>
          </w:p>
        </w:tc>
      </w:tr>
      <w:tr>
        <w:trPr>
          <w:trHeight w:val="27"/>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recorded in the condensed consolidated statements of operations and comprehensive loss during the three and nine months ended September 30, 2025 and 2024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expense</w:t>
            </w: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37"/>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 of goodwill for the Space Systems reportable segment was $217,709 and $71,020 as of September 30, 2025 and December 31, 2024,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intangible assets consisted of the following as of September 30,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FF0FC"/>
            </w:tcBorders>
          </w:tcPr>
          <w:p>
            <w:pPr>
              <w:spacing w:after="0"/>
              <w:rPr>
                <w:sz w:val="2"/>
                <w:szCs w:val="2"/>
                <w:color w:val="auto"/>
              </w:rPr>
            </w:pPr>
          </w:p>
        </w:tc>
        <w:tc>
          <w:tcPr>
            <w:tcW w:w="26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6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6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6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6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0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In-process technology</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the condensed consolidated statements of operations and comprehensive loss during the three and nine months ended September 30, 2025 and 2024, respectively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40" w:type="dxa"/>
            <w:vAlign w:val="bottom"/>
            <w:tcBorders>
              <w:bottom w:val="single" w:sz="8" w:color="CFF0FC"/>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FF0FC"/>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37"/>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7"/>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outlines the estimated future amortization expense related to intangible assets held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(for the remaining period)</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27,607</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112,519</w:t>
            </w:r>
          </w:p>
        </w:tc>
      </w:tr>
      <w:tr>
        <w:trPr>
          <w:trHeight w:val="27"/>
        </w:trPr>
        <w:tc>
          <w:tcPr>
            <w:tcW w:w="976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231,484</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 and Notes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6, 2024, the Company issued $355,000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w:t>
      </w:r>
    </w:p>
    <w:p>
      <w:pPr>
        <w:spacing w:after="0" w:line="68"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including borrowings under its equipment financing agreement,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September 30, 2025, the holder of the Notes have the right to convert between October 1, 2025 and December 31, 2025 because the Company’s common stock price exceeded the applicable conversion price by 130% for the specified period of time during the quarter ended September 30, 2025.</w:t>
      </w:r>
    </w:p>
    <w:p>
      <w:pPr>
        <w:spacing w:after="0" w:line="85" w:lineRule="exact"/>
        <w:rPr>
          <w:sz w:val="20"/>
          <w:szCs w:val="20"/>
          <w:color w:val="auto"/>
        </w:rPr>
      </w:pPr>
    </w:p>
    <w:p>
      <w:pPr>
        <w:ind w:right="80" w:firstLine="486"/>
        <w:spacing w:after="0" w:line="281" w:lineRule="auto"/>
        <w:rPr>
          <w:sz w:val="20"/>
          <w:szCs w:val="20"/>
          <w:color w:val="auto"/>
        </w:rPr>
      </w:pPr>
      <w:r>
        <w:rPr>
          <w:rFonts w:ascii="Times New Roman" w:cs="Times New Roman" w:eastAsia="Times New Roman" w:hAnsi="Times New Roman"/>
          <w:sz w:val="17"/>
          <w:szCs w:val="17"/>
          <w:color w:val="auto"/>
        </w:rPr>
        <w:t>When a conversion notice is received, the Company has the option to pay or deliver cash, shares of the Company’s common stock, or a combination thereof. As of September 30, 2025, the Company had not received a notice from the holders. However, subsequent to September 30, 2025, the Company did receive notices from holders (see Note 20). As of September 30, 2025, the Company cannot be required to settle the Notes in cash and has the intent and ability to settle in common stock, therefore, the Notes were classified as non-current liabilities on the Company’s consolidated balance sheet.</w:t>
      </w:r>
    </w:p>
    <w:p>
      <w:pPr>
        <w:spacing w:after="0" w:line="5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$355,000 outstanding under the Notes, before unamortized discount and debt issuance costs of $7,986. As of September 30, 2025, the effective interest rate under the Notes was 5.0%.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on February 1, 2024 and February 2, 2024, the Company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spacing w:after="0" w:line="86"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Trinity Master Equipment Financing Agreement</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were able to make Draws as follows: (x) $30,000 to be drawn in not more than three advances of at least $10,000 each at the Borrowers’ option no later than the date that is 18 months after the Effective Date; and (y) $20,000 to be drawn at Borrower’s option between January 1, 2025 and June 30, 2025, subject to customary conditions.</w:t>
      </w:r>
    </w:p>
    <w:p>
      <w:pPr>
        <w:spacing w:after="0" w:line="8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repaid an existing term loan with the proceeds from the Trinity Loan Agreement and Blanket Lien Draw. The monthly payment factors under the Trinity Loan Agreement and Blanket Lien Draw have a term of sixty (60) months and a rate factor of 0.022266. In connection with the Trinity Loan Agreement, the Company issued warrants to Lender to acquire 728,835 shares of the Company’s common stock at an exercise price of $4.87 per share.</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On February 8, 2024, the Company paid off all obligations under the Blanket Lien Draw in the amount of $38,778, which includes principal, unpaid interest and legal fees, resulting in a loss on extinguishment of debt of $1,330 for the nine months ended September 30, 2024.</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March 20, 2025, the Company made a draw of $25,000 under the Trinity Loan Agreement (the “March 2025 Draw”). This March 2025 Draw has a term of sixty (60) months and a rate factor of 0.022266.</w:t>
      </w:r>
    </w:p>
    <w:p>
      <w:pPr>
        <w:spacing w:after="0" w:line="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2025, there was $68,178 outstanding under the Trinity Loan Agreement, before unamortized discount and debt issuance and end of term costs of $1,537, of which $17,090 is classified as current installments of long-term borrowings in the Company’s condensed consolidated balance sheets, with the remainder classified as long-term borrowings, net, excluding current installments. As of September 30, 2025, the effective interest rate under the Trinity Loan Agreement was 15.7%. The Company is required to pay end of term charges of $700 and $250 upon repayment of the Effective Date Draw and the March 2025 Draw,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principal payments under the Trinity Loan Agreement as of September 30, 2025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(for the remaining period)</w:t>
            </w:r>
          </w:p>
        </w:tc>
        <w:tc>
          <w:tcPr>
            <w:tcW w:w="63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FF0FC"/>
            </w:tcBorders>
          </w:tcPr>
          <w:p>
            <w:pPr>
              <w:spacing w:after="0"/>
              <w:rPr>
                <w:sz w:val="2"/>
                <w:szCs w:val="2"/>
                <w:color w:val="auto"/>
              </w:rPr>
            </w:pPr>
          </w:p>
        </w:tc>
        <w:tc>
          <w:tcPr>
            <w:tcW w:w="58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68,178</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5840" w:type="dxa"/>
            <w:vAlign w:val="bottom"/>
            <w:tcBorders>
              <w:top w:val="single" w:sz="8" w:color="CFF0FC"/>
              <w:bottom w:val="single" w:sz="8" w:color="CFF0FC"/>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w:t>
      </w:r>
    </w:p>
    <w:p>
      <w:pPr>
        <w:spacing w:after="0" w:line="8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common stock exchanged in the Preferred Stock Exchange were reacquired at no cost and held in treasury stock until they are reissued or retired. The fair value of the Preferred Stock issued was determined to be equal to the fair value of the common stock exchanged.</w:t>
      </w:r>
    </w:p>
    <w:p>
      <w:pPr>
        <w:spacing w:after="0" w:line="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10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w:t>
      </w:r>
    </w:p>
    <w:p>
      <w:pPr>
        <w:spacing w:after="0" w:line="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7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11, 2025, the Company entered into an ATM Equity Offering Sales Agreement (the “March Sales Agreement”) with BofA Securities, Inc., Cantor Fitzgerald &amp; Co., Stifel, Nicolaus &amp; Company, Incorporated and TD Securities (USA) LLC (collectively, the “March Sales Agents”), pursuant to which the Company offered and sold, from time to time, shares of its common stock having an aggregate offering price of up to $500,000 through the March Sales Agents, acting as its agents, or directly to the March Sales Agents, acting as principal (the “March ATM Equity Offering”).</w:t>
      </w:r>
    </w:p>
    <w:p>
      <w:pPr>
        <w:spacing w:after="0" w:line="7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September 15, 2025, the Company entered into an ATM Equity Offering Sales Agreement (the “September Sales Agreement”) with BofA Securities, Inc., Cantor Fitzgerald &amp; Co., BTIG, LLC, KeyBanc Capital Markets Inc., Citizens JMP Securities, LLC, Needham &amp; Company, LLC and Roth Capital Partners, LLC (collectively, the “September Sales Agents”), pursuant to which the Company may offer and sell, from time to time, the shares of its common stock having an aggregate offering price of up to $750,000 through the September Sales Agents, acting as its agents, or directly to the September Sales Agents, acting as principal (the “September ATM Equity Offering”, and together with the March ATM Equity Offering, the “ATM Equity Offerings”). In connection with entering into the September Sales Agreement, the Company terminated the March ATM Equity Offering and the March Sales Agreement.</w:t>
      </w:r>
    </w:p>
    <w:p>
      <w:pPr>
        <w:spacing w:after="0" w:line="8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sold 15,142,133 shares of common stock and generating $396,647 in gross proceeds, before deducting $9,584 in underwriting discounts, commissions and other expenses under the terminated March ATM Equity Offering.</w:t>
      </w:r>
    </w:p>
    <w:p>
      <w:pPr>
        <w:spacing w:after="0" w:line="5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sold 9,591,839 shares of common stock and generating $468,806 in gross proceeds, before deducting $10,740 in underwriting discounts, commissions and other expenses under the September ATM Equity Offering.</w:t>
      </w:r>
    </w:p>
    <w:p>
      <w:pPr>
        <w:spacing w:after="0" w:line="50"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provides for the grant of equity awards to officers, employees, directors and other key employees as well as service providers which include incentive stock options, non-qualified stock options, restricted stock awards, unrestricted stock awards, restricted stock units or any combination of the foregoing any of which may be performance based, as determined by the Company’s Compensation Committee.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up to 106,707,030 shares of common stock as equity awards to participants under the 2021 Plan as of September 30, 2025. There were 91,988,230 shares of common stock available for grant as of September 30, 2025.</w:t>
      </w:r>
    </w:p>
    <w:p>
      <w:pPr>
        <w:spacing w:after="0" w:line="8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in the condensed consolidated statements of operations and comprehensive loss during the three and nine months ended September 30, 2025 and 2024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24,488</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0" w:type="dxa"/>
            <w:vAlign w:val="bottom"/>
          </w:tcPr>
          <w:p>
            <w:pPr>
              <w:spacing w:after="0"/>
              <w:rPr>
                <w:sz w:val="1"/>
                <w:szCs w:val="1"/>
                <w:color w:val="auto"/>
              </w:rPr>
            </w:pPr>
          </w:p>
        </w:tc>
      </w:tr>
      <w:tr>
        <w:trPr>
          <w:trHeight w:val="237"/>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Options issued to all optionees under the 2013 Plan vested over four years from the date of issuance (or earlier vesting start date, as determined by the board of directors) as follows: 25% on the first anniversary of date of grant and the remaining vest monthly over the remaining vesting term. All options had vested as of September 30,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granted 1,609,492 and 16,677,693 restricted stock units, respectively, to certain key employees pursuant to the 2021 Plan. The time-based service vesting condition is generally satisfied over periods of approximately four years as the employees provide service.</w:t>
      </w:r>
    </w:p>
    <w:p>
      <w:pPr>
        <w:spacing w:after="0" w:line="68"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compensation expense related to unvested performance-based restricted stock units granted under the 2021 Plan was $114,750 and will be recognized upon vesting.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w:t>
      </w:r>
    </w:p>
    <w:p>
      <w:pPr>
        <w:spacing w:after="0" w:line="8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and 2024, 321,734 shares and 728,183 shares of common stock were issued under the 2021 ESPP, respectively. As of September 30, 2025, 19,861,563 shares remain available for issuance under the 2021 ESPP. Total ESPP stock-based compensation recorded in the condensed consolidated statements of operations and comprehensive loss for the three and nine months ended September 30, 2025 was $1,446 and $4,539, respectively. Total ESPP stock-based compensation recorded in the condensed consolidated statements of operations and comprehensive loss for the three and nine months ended September 30, 2024 was $409 and $2,069, respectively. As of September 30, 2025, the total unrecognized compensation expense related to the 2021 ESPP was $1,508 and will be recognized over the remaining offering period.</w:t>
      </w:r>
    </w:p>
    <w:p>
      <w:pPr>
        <w:spacing w:after="0" w:line="75"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properties, vehicles and equipment. The Company’s leases have remaining lease terms of less than one year to twenty-five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spacing w:after="0" w:line="72"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commenced a barge lease and recognized an initial right-of-use operating lease asset and liability of $15,979 and extended a facility lease and recognized a right-of-use operating lease asset and liability adjustment of $14,694. There have been no other material changes in the Company’s lease portfolio since December 31, 2024.</w:t>
      </w:r>
    </w:p>
    <w:p>
      <w:pPr>
        <w:spacing w:after="0" w:line="64"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Claims</w:t>
      </w:r>
    </w:p>
    <w:p>
      <w:pPr>
        <w:spacing w:after="0" w:line="11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commitments under its lease obligations (see Note 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contingent liability when it is both probable that a loss has been incurred, and the amount can be reasonably estimated. If these estimates and assumptions change or prove to be incorrect, it could have a material impact on the Company’s condensed consolidated financial statements. Contingencies are inherently unpredictable, and the assessments of the value can involve a series of complex judgments about future events and can rely heavily on estimates and assumptions.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SolAero Holdings, Inc. in January 2022, the Company assumed a contract with a customer to provide solar panel module at a fixed price. The Company determined that it was probable that the costs to complete the solar panel modules as stipulated by the contract would exceed the fixed firm price of the solar panel modules.</w:t>
      </w:r>
    </w:p>
    <w:p>
      <w:pPr>
        <w:spacing w:after="0" w:line="6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contract losses outstanding as of September 30, 2025, which primarily is related to the solar panel module agreement, was $5,377 included in other current liabilities in the Company’s condensed consolidated balance sheets.</w:t>
      </w:r>
    </w:p>
    <w:p>
      <w:pPr>
        <w:spacing w:after="0" w:line="50"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provision and the effective tax rate for the three and nine months ended September 30, 2025 and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7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38,966</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03"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The tax provisions for the three and nine months ended September 30, 2025 and 2024 were computed using the estimated effective tax rates projected to be applicable for domestic and international taxable jurisdictions for the full year as adjusted for discrete items arising during each quarter.</w:t>
      </w:r>
    </w:p>
    <w:p>
      <w:pPr>
        <w:spacing w:after="0" w:line="3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federal statutory rate due primarily to a full valuation allowance against our U.S. deferred tax assets, including the release of the valuation allowance related to the deferred tax liability from the GEOST acquisition, as well as the impact of discrete items that may occur in any given year but which are not consistent from year-to-year.</w:t>
      </w:r>
    </w:p>
    <w:p>
      <w:pPr>
        <w:spacing w:after="0" w:line="6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Due to its net operating loss carryforwards, the Company remains subject to examination for U.S. federal and state jurisdictions for all years beginning with the year ended March 31, 2016. The Company's foreign subsidiaries are generally subject to examination within four years the end of the tax year during which the tax return was filed.</w:t>
      </w:r>
    </w:p>
    <w:p>
      <w:pPr>
        <w:spacing w:after="0" w:line="68" w:lineRule="exact"/>
        <w:rPr>
          <w:sz w:val="20"/>
          <w:szCs w:val="20"/>
          <w:color w:val="auto"/>
        </w:rPr>
      </w:pPr>
    </w:p>
    <w:p>
      <w:pPr>
        <w:ind w:right="2220" w:firstLine="486"/>
        <w:spacing w:after="0" w:line="375" w:lineRule="auto"/>
        <w:rPr>
          <w:sz w:val="20"/>
          <w:szCs w:val="20"/>
          <w:color w:val="auto"/>
        </w:rPr>
      </w:pPr>
      <w:r>
        <w:rPr>
          <w:rFonts w:ascii="Times New Roman" w:cs="Times New Roman" w:eastAsia="Times New Roman" w:hAnsi="Times New Roman"/>
          <w:sz w:val="18"/>
          <w:szCs w:val="18"/>
          <w:color w:val="auto"/>
        </w:rPr>
        <w:t xml:space="preserve">The Company does not anticipate significant changes to occur to its uncertain tax positions within the next 12 months. </w:t>
      </w:r>
      <w:r>
        <w:rPr>
          <w:rFonts w:ascii="Times New Roman" w:cs="Times New Roman" w:eastAsia="Times New Roman" w:hAnsi="Times New Roman"/>
          <w:sz w:val="18"/>
          <w:szCs w:val="18"/>
          <w:i w:val="1"/>
          <w:iCs w:val="1"/>
          <w:color w:val="auto"/>
        </w:rPr>
        <w:t>Tax Legislation</w:t>
      </w:r>
    </w:p>
    <w:p>
      <w:pPr>
        <w:spacing w:after="0" w:line="1"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 was enacted. Key income tax-related provisions of the OBBB include repeal of mandatory capitalization of domestic research and development expenditures under Internal Revenue Code Section 174 (reinstating full expensing beginning in 2025) and revisions to international tax regimes, among other provisions. The Company has incorporated the applicable changes from the OBBB in its interim financial statements. The OBBB does not significantly impact the Company’s provision for income taxes.</w:t>
      </w:r>
    </w:p>
    <w:p>
      <w:pPr>
        <w:spacing w:after="0" w:line="68"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holder of each share of common stock has the right to one vote for each share and is entitled to notice of any stockholders’ meeting and to vote upon certain events.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holder of the Preferred Stock has similar rights and characteristics to common stock and for the purposes of the calculation of earnings per share, the Preferred Stock is treated as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Calculation</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 average number of common shares outstanding during each period.</w:t>
      </w:r>
    </w:p>
    <w:p>
      <w:pPr>
        <w:spacing w:after="0" w:line="5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restricted stock units, stock options and shares underlying our convertible senior notes. For the three and nine months ended September 30, 2025 and 2024, there is no difference in the number of shares used to calculate basic and diluted shares outstanding due to the Company’s net loss and potentially dilutive shares being anti-dilutive.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for the three and nine months ended September 30, 2025 and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Borders>
              <w:bottom w:val="single" w:sz="8" w:color="CFF0FC"/>
            </w:tcBorders>
          </w:tcPr>
          <w:p>
            <w:pPr>
              <w:spacing w:after="0"/>
              <w:rPr>
                <w:sz w:val="3"/>
                <w:szCs w:val="3"/>
                <w:color w:val="auto"/>
              </w:rPr>
            </w:pPr>
          </w:p>
        </w:tc>
        <w:tc>
          <w:tcPr>
            <w:tcW w:w="820" w:type="dxa"/>
            <w:vAlign w:val="bottom"/>
            <w:tcBorders>
              <w:bottom w:val="single" w:sz="8" w:color="CFF0FC"/>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40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FF0FC"/>
          </w:tcPr>
          <w:p>
            <w:pPr>
              <w:spacing w:after="0"/>
              <w:rPr>
                <w:sz w:val="15"/>
                <w:szCs w:val="15"/>
                <w:color w:val="auto"/>
              </w:rPr>
            </w:pPr>
          </w:p>
        </w:tc>
        <w:tc>
          <w:tcPr>
            <w:tcW w:w="500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48"/>
        </w:trPr>
        <w:tc>
          <w:tcPr>
            <w:tcW w:w="20" w:type="dxa"/>
            <w:vAlign w:val="bottom"/>
            <w:tcBorders>
              <w:top w:val="single" w:sz="8" w:color="CFF0FC"/>
            </w:tcBorders>
            <w:shd w:val="clear" w:color="auto" w:fill="CFF0FC"/>
          </w:tcPr>
          <w:p>
            <w:pPr>
              <w:spacing w:after="0"/>
              <w:rPr>
                <w:sz w:val="4"/>
                <w:szCs w:val="4"/>
                <w:color w:val="auto"/>
              </w:rPr>
            </w:pPr>
          </w:p>
        </w:tc>
        <w:tc>
          <w:tcPr>
            <w:tcW w:w="820" w:type="dxa"/>
            <w:vAlign w:val="bottom"/>
            <w:tcBorders>
              <w:top w:val="single" w:sz="8" w:color="auto"/>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40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20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(137,830)</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w w:val="98"/>
              </w:rPr>
              <w:t>Denominator</w:t>
            </w:r>
          </w:p>
        </w:tc>
        <w:tc>
          <w:tcPr>
            <w:tcW w:w="4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528,725,980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497,701,715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516,560,266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493,976,025</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stockholders-basic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0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equity shares were excluded from the calculation of diluted net loss per share attributable to common stockholders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19,444,682</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31,518,080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0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728,835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69,261,530</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69,261,530</w:t>
            </w:r>
          </w:p>
        </w:tc>
      </w:tr>
      <w:tr>
        <w:trPr>
          <w:trHeight w:val="27"/>
        </w:trPr>
        <w:tc>
          <w:tcPr>
            <w:tcW w:w="818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r>
    </w:tbl>
    <w:p>
      <w:pPr>
        <w:spacing w:after="0" w:line="167"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reviews financial information presented based on a management approach for the purposes of making operating decisions, assessing financial performance and allocating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three and nine months ended September 30,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Space</w:t>
            </w: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37"/>
        </w:trPr>
        <w:tc>
          <w:tcPr>
            <w:tcW w:w="5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61,824</w:t>
            </w:r>
          </w:p>
        </w:tc>
      </w:tr>
      <w:tr>
        <w:trPr>
          <w:trHeight w:val="27"/>
        </w:trPr>
        <w:tc>
          <w:tcPr>
            <w:tcW w:w="50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22,034</w:t>
            </w: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1"/>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Space</w:t>
            </w: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37"/>
        </w:trPr>
        <w:tc>
          <w:tcPr>
            <w:tcW w:w="5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123,159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298,988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163,608</w:t>
            </w:r>
          </w:p>
        </w:tc>
      </w:tr>
      <w:tr>
        <w:trPr>
          <w:trHeight w:val="27"/>
        </w:trPr>
        <w:tc>
          <w:tcPr>
            <w:tcW w:w="50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93,754</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57,192</w:t>
            </w: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770"/>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information by reportable segment by products and services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31"/>
        </w:trPr>
        <w:tc>
          <w:tcPr>
            <w:tcW w:w="5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Launch</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Space</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Space</w:t>
            </w:r>
          </w:p>
        </w:tc>
      </w:tr>
      <w:tr>
        <w:trPr>
          <w:trHeight w:val="195"/>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21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79,419</w:t>
            </w: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58,448</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70"/>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28"/>
        </w:trPr>
        <w:tc>
          <w:tcPr>
            <w:tcW w:w="5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Launch</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Space</w:t>
            </w:r>
          </w:p>
        </w:tc>
      </w:t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7"/>
                <w:szCs w:val="17"/>
                <w:color w:val="auto"/>
              </w:rPr>
            </w:pPr>
          </w:p>
        </w:tc>
        <w:tc>
          <w:tcPr>
            <w:tcW w:w="11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Systems</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205,848</w:t>
            </w: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153,215</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r>
      <w:tr>
        <w:trPr>
          <w:trHeight w:val="270"/>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77,964</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regularly review either reporting segment’s total assets or operating expenses. This is because in general, the Company’s long-lived assets, facilities, and equipment are shared by each reporting segment.</w:t>
      </w:r>
    </w:p>
    <w:p>
      <w:pPr>
        <w:spacing w:after="0" w:line="50"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January 7, 2025, the Preferred Stock Exchange was consummated and the Company filed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 See Note 12 for additional information on the Preferred Stock Exchange.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and December 31, 2024, there are no amounts due to or from related parties.</w:t>
      </w:r>
    </w:p>
    <w:p>
      <w:pPr>
        <w:spacing w:after="0" w:line="113"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Conversion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Subsequent to September 30, 2025, and through the date these financial statements were issued, the Company received conversion notices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$192,022 aggregate principal amount of Notes. These conversions resulted in the issuance of 37,464,040 shares of common stock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Indenture governing the Notes.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You should read this discussion and analysis in conjunction with the unaudited condensed consolidated financial statements and notes thereto included elsewhere in this Quarterly Report on Form 10-Q. For additional context with which to understand our financial condition and results of operations, see the audited consolidated financial statements and accompanying notes contained therein as of December 31, 2024 and 2023 and related notes in the Company’s Annual Report on Form 10-K for the year ended December 31, 2024 as filed with the SEC on February 27, 2025, as amended by Form 10-K/A filed April 30, 2025 (our “Form 10-K”). Certain amounts may not foot due to rounding. Certain information in this discussion and analysis or set forth elsewhere in this Quarterly Report on Form 10-Q contains forward-looking statements that involve numerous risks and uncertainties, including, but not limited to, those described under the sections entitled “Cautionary Note Regarding Forward-Looking Statements” and Part II, Item 1A. “Risk Factors” included in this Quarterly Report on Form 10-Q and under the heading “Risk Factors” in our Form 10-K. We assume no obligation to update any of these forward-looking statements. Actual results may differ materially from those contained in any forward-looking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6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space data applications and optical systems. Each of these initiatives addresses a critical component of the end-to-end solution and our value proposition for the space economy:</w:t>
      </w:r>
    </w:p>
    <w:p>
      <w:pPr>
        <w:spacing w:after="0" w:line="72" w:lineRule="exact"/>
        <w:rPr>
          <w:sz w:val="20"/>
          <w:szCs w:val="20"/>
          <w:color w:val="auto"/>
        </w:rPr>
      </w:pPr>
    </w:p>
    <w:p>
      <w:pPr>
        <w:ind w:left="820" w:right="72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Services is the design, manufacture, and launch of orbital rockets to deploy payloads to various Earth orbits and interplanetary destinations.</w:t>
      </w:r>
    </w:p>
    <w:p>
      <w:pPr>
        <w:spacing w:after="0" w:line="53"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Systems is the design and manufacture of spacecraft components and spacecraft program management services, space data applications, mission operations and optical systems.</w:t>
      </w:r>
    </w:p>
    <w:p>
      <w:pPr>
        <w:spacing w:after="0" w:line="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68 successful missions through September 30, 2025. In 2024, Electron was the second most frequently orbital launched rocket by companies operating in the United States and the second most frequent orbital launcher globally.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8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March 2021, we announced plans to develop our reusable-ready medium-capacity Neutron launch vehicle that will increase the payload capacity of our space launch vehicles to approximately 15,000 kg for expendable launches to low Earth orbit and lighter payloads for reusable configurations and into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systems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Advanced Solutions, Incorporated and Geost LLC.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Mynaric</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September 25, 2025, we entered into a Stock Purchase Agreement (together with the ancillary documents thereto, the “Mynaric Purchase Agreement”), by and among the Company, Rocket Lab USA (“Buyer”), OC III LVS LIII LP, a Delaware limited partnership (“OC III”) and CO Finance II LVS I LLC, a Delaware limited liability company (“COF II” and together with OC III, the “Sellers”), which provides for, among other things, Buyer’s purchase and acquisition of all of the issued and outstanding ordinary shares of Mynaric AG, a stock corporation (Aktiengesellschaft) incorporated under the laws of the Federal Republic of Germany (“Mynaric”).</w:t>
      </w:r>
    </w:p>
    <w:p>
      <w:pPr>
        <w:spacing w:after="0" w:line="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Pursuant to the terms of the Mynaric Purchase Agreement, all of the issued and outstanding ordinary shares of Mynaric will be purchased in exchange for aggregate consideration of $75 million, consisting of cash or common stock, at our discretion, subject to adjustments at closing (the “Mynaric Transaction”). Additionally, the Mynaric Purchase Agreement provides for up to $75 million in potential additional post-closing earnout payments to the Sellers in cash or common stock based on revenue targets of the Mynaric business for 2025, 2026 and 2027. The initial closing purchase price will also be increased (and the potential earnout consideration correspondingly decreased) to the extent of any additional cash investment by the Sellers or their affiliates in Mynaric after completion of the StaRUG restructuring proceedings under German law on May 28, 2025 and before the closing of the acquisition.</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Mynaric Purchase Agreement contains representations, warranties, covenants and closing conditions from and for the benefit of each of us and the Sellers that are customary for transactions of this kind. We have also agreed to file a resale registration statement with respect to our common stock issued in the Mynaric Transaction, if any, within 30 days after the closing date, subject to certain customary exceptions and requirements as well as customary selling securityholder indemnities with respect to such registration rights. The Transaction is subject to regulatory approval by the German Ministry of Foreign Affairs.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Tariffs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Beginning in early April 2025, there has been a significant shift in United States (“U.S.”) trade policy, characterized by increased tariffs and the introduction of new tariffs that could affect our supply chain and business operations. While much of our production is completed in the U.S. and many of our suppliers are located within and source their supply from within the U.S., we obtain some of our supplies from sources outside of the U.S. and certain of our consolidated subsidiaries are headquartered outside of the U.S. as well. Although some of these tariffs have been temporarily suspended or reduced, certain tariffs remain in effect, and some may be reinstated following the temporary suspension period currently articulated by the U.S., and as such tariffs could have a material adverse impact on our business, our results of operations and our cash flow. The extent of the impact of these tariffs will depend on various factors, including the specific products affected, the duration and amount of the tariffs the rates imposed by the U.S. and any reciprocal tariffs implemented by countries in which we operate or source goods, and our ability to manage increased costs. While we plan to implement measures to mitigate the effects of tariffs and other trade policy changes, such as negotiating with suppliers, adjusting our supply chain, and exploring cost-saving initiatives, our capacity to do so may be constrained by operational and supply chain limitations, particularly in the short term. To date, our business has not been materially impacted by this shift in U.S. trade policy and, to the extent we are able, we plan to continue to implement strategies to mitigate any potential impact of any new or ongoing tariffs or further shifts in U.S. trade policy.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Shutdown</w:t>
      </w:r>
    </w:p>
    <w:p>
      <w:pPr>
        <w:spacing w:after="0" w:line="121"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The ongoing U.S. government shutdown, which began on October 1, 2025, has affected our business operations. A significant portion of our revenues and cash flow are derived from U.S. government contracts, the shutdown has and continues cause delays in anticipated contract awards and payments. We are also actively monitoring the situation and assessing its potential effects on our operations, some of the impacts include:</w:t>
      </w:r>
    </w:p>
    <w:p>
      <w:pPr>
        <w:spacing w:after="0" w:line="68" w:lineRule="exact"/>
        <w:rPr>
          <w:sz w:val="20"/>
          <w:szCs w:val="20"/>
          <w:color w:val="auto"/>
        </w:rPr>
      </w:pPr>
    </w:p>
    <w:p>
      <w:pPr>
        <w:ind w:left="820" w:right="160" w:hanging="32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 Department delays impacting our ability to timely obtain the necessary licenses to support launches for foreign customers as well as the delay in processing of U.S. visa application for foreign Rocket Lab personnel;</w:t>
      </w:r>
    </w:p>
    <w:p>
      <w:pPr>
        <w:spacing w:after="0" w:line="53" w:lineRule="exact"/>
        <w:rPr>
          <w:rFonts w:ascii="Times New Roman" w:cs="Times New Roman" w:eastAsia="Times New Roman" w:hAnsi="Times New Roman"/>
          <w:sz w:val="18"/>
          <w:szCs w:val="18"/>
          <w:color w:val="auto"/>
        </w:rPr>
      </w:pPr>
    </w:p>
    <w:p>
      <w:pPr>
        <w:ind w:left="820" w:right="1160" w:hanging="32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government support for U.S. missions and programs, including the furlough of civilian employees, which have reduced communication and increased response times;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workforce at critical mission sites such as at our Wallops facility.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prolonged shutdown could negatively impact our business, financial condition, and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timely develop and successfully deploy Neutron launch vehicle</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hardware and systems testing, and infrastructure readiness, any of which could create further delays in reaching the initial launch and future launches of the completed vehicle. In addition, even if we succeed in developing Neutron to a successful initial launch, we could be unsuccessful in developing the ability to produce these launch vehicles in quantities and with the necessary quality manufacturing system that ensures each vehicle and engines perform as required or meet our expectations for future launch cadence.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 delays or setbacks in Neutron development may require more research, development and capital expenditures than we currently anticipate, which could adversely affect our liquidity and capital resources in future periods.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sell additional launch services, space systems service and spacecraft components to new and existing customers</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results will be impacted by our ability to sell our launch services, space systems services, and spacecraft components to new and existing customers. We have successfully launched Electron 68 times delivering over 200 spacecraft to orbit, including one suborbital launch, through September 30, 2025. We have flight hardware and spacecraft that have flown on over 1,800 missions, including legacy missions enabled by Sinclair Interplanetary (acquired April 2020), Advanced Solutions, Incorporated (acquired October 2021), Planetary Systems Corporation (acquired November 2021), SolAero Technologies Corp. (acquired January 2022) and GEOST LLC (acquired August 2025).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21"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expenditures and private enterprise investment into the space economy</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Select Financial Data</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that assist us in evaluating our business, measuring our performance, identifying trends and making strategic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Launch Vehicle Build-Rate and Launch Cadence</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built approximately 12 Electron launch vehicles in 2022, approximately 11 Electron launch vehicles in 2023 and approximately 14 Electron launch vehicles in 2024. We built approximately 17 Electron launch vehicles through the nine months ended September 30, 2025. We launched nine Electron vehicles in 2022, ten Electron vehicles in 2023 and 16 Electron vehicles in 2024. We have launched 14 Electron vehicles through the nine months ended September 30, 2025.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method of revenue recognition and other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generated $155.1 million and $104.8 million in revenue for the three months ended September 30, 2025 and 2024, respectively, representing a year-on-year increase in revenue of approximately 48%. This year-on-year increase resulted from space systems revenue growth of $30.3 million, primarily driven by satellite manufacturing, and an increase in launch revenue of $20.0 million. Launch revenue growth was due to a higher launch cadence with four Electron launch missions completed in the three months ended September 30, 2025, versus three launch missions completed in the three months ended September 30, 2024, revenue recognized on over-time Electron launch missions, an increase in other launch revenue, which includes termination and study revenue, and a higher revenue per launch on point-in-time Electron launch missions.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generated $422.1 million and $303.8 million in revenue for the nine months ended September 30, 2025 and 2024, respectively, representing a year-on-year increase in revenue of approximately 39%. This year-on-year increase resulted from space systems revenue growth of $78.2 million, primarily driven by satellite manufacturing, and an increase in launch revenue of $40.1 million. Launch revenue growth was due to a higher launch cadence with 14 Electron launch missions completed in the nine months ended September 30, 2025, versus 11 launch missions completed in the nine months ended September 30, 2024, an increase in other launch revenue, which includes termination and study revenue, and a higher revenue per launch.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Per Launch</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Revenue per launch represents the average transaction price attributable to launch contract performance obligations during the period in which the launch occurs, regardless of whether the revenue is recognized as point-in-time or over-time method of revenue recognition. This metric provides insight into general competitiveness and price sensitivity in the marketplace. Revenue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 Cost per launch is calculated by taking actual costs of the launch vehicles that occur in the period, regardless of whether the costs were recognized at point-in-time or over-time method and all period costs in the period of launch.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and 2024</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2025 and 2024, our revenue value per launch was $10.1 million and $7.0 million, respectively. Meanwhile, cost per launch for the three months ended September 30, 2025 and 2024 was $5.9 million and $5.0 million, respectively. The increase in revenue and cost per launch reflects changes in customer mix and mission complexity during the period in which the launches occurred.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and 2024</w:t>
      </w:r>
    </w:p>
    <w:p>
      <w:pPr>
        <w:spacing w:after="0" w:line="11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2025 and 2024, our revenue value per launch was $8.2 million and $7.5 million, respectively. Meanwhile, cost per launch for the nine months ended September 30, 2025 and 2024 was $5.5 million and $5.5 million, respectively. Revenue per launch can fluctuate depending on customer mix, mission type, and other factors during the periods in which launches occurred.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Our backlog increased from $1,067.0 million as of December 31, 2024 to $1,096.0 million as of September 30, 2025, of which $586.3 million is related to space systems and $509.7 million is related to launch services. The increase was primarily a result of continued bookings during the period and the acquisition of GEOST, partially offset by recognizing revenue on contracts during the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w:t>
      </w:r>
    </w:p>
    <w:p>
      <w:pPr>
        <w:spacing w:after="0" w:line="7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selling,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net</w:t>
      </w:r>
    </w:p>
    <w:p>
      <w:pPr>
        <w:spacing w:after="0" w:line="11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net expense consists primarily include labor, prototype, professional services, materials, facilities and depreciation expense. We intend to continue to make significant investments in developing new products and enhancing existing products, including but not limited to our medium capacity Neutron launch vehicle, Electron’s first stage recovery, and spacecraft features and capabilities, as well as expanding our portfolio of spacecraft components and subsystems. Research and development expense will be variable relative to the number of products that are in development, validation or testing. However, we expect it to decline as a percentage of total revenue over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other marketing, communications and administrative expenses and transaction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Interest income (expense), net consists primarily of interest expense incurred on debt and interest income earned on our cash and cash equivalents, short-term investments balances and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Foreign Exchange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Gain (loss) on foreign exchange relates to currency fluctuations that generate foreign exchange gains or losses on invoices denominated in currencies other than the United States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information and data as a percentage of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40" w:type="dxa"/>
            <w:vAlign w:val="bottom"/>
            <w:tcBorders>
              <w:bottom w:val="single" w:sz="8" w:color="auto"/>
            </w:tcBorders>
          </w:tcPr>
          <w:p>
            <w:pPr>
              <w:spacing w:after="0"/>
              <w:rPr>
                <w:sz w:val="19"/>
                <w:szCs w:val="19"/>
                <w:color w:val="auto"/>
              </w:rPr>
            </w:pPr>
          </w:p>
        </w:tc>
      </w:tr>
      <w:tr>
        <w:trPr>
          <w:trHeight w:val="237"/>
        </w:trPr>
        <w:tc>
          <w:tcPr>
            <w:tcW w:w="4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spacing w:after="0"/>
              <w:rPr>
                <w:sz w:val="20"/>
                <w:szCs w:val="20"/>
                <w:color w:val="auto"/>
              </w:rPr>
            </w:pPr>
          </w:p>
        </w:tc>
      </w:tr>
      <w:tr>
        <w:trPr>
          <w:trHeight w:val="236"/>
        </w:trPr>
        <w:tc>
          <w:tcPr>
            <w:tcW w:w="48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155,080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116,283</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79,895</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4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155,080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1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Revenue increased by $50.3 million, or 48%, for the three months ended September 30, 2025 as compared to the three months ended September 30, 2024. Space systems revenue was $114.2 million for the three months ended September 30, 2025, an increase of $30.3 million, or 36%, primarily due to spacecraft manufacturing growth. Launch Services revenue was $40.9 million for the three months ended September 30, 2025, an increase of $20.0 million, or 95%, primarily due to a higher launch cadence with four Electron launch missions completed in the three months ended September 30, 2025, versus three launch missions completed in the three months ended September 30, 2024, revenue recognized on over-time Electron launch missions, which included a cumulative catch-up adjustment to revenue of $13.3 million, an increase in other launch revenue, which includes termination and study revenue, and a higher revenue on point-in-time Electron launch missions in the three months ended September 30,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Cost of revenues increased by $21.0 million, or 27%, for the three months ended September 30, 2025 as compared to the three months ended September 30, 2024. Space systems cost of revenue was $80.6 million for the three months ended September 30, 2025, an increase of $18.8 million, or 30%, primarily due to spacecraft manufacturing growth. Launch Services cost of revenues was $17.2 million in the three months ended September 30, 2025, an increase of $2.2 million, or 15%, primarily due to a higher launch cadence, partially offset by costs recognized on over-time Electron launch missions incurred in prior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22,971</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184"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$23.0 million, or 48%, for the three months ended September 30, 2025 as compared to the three months ended September 30, 2024, primarily due to Neutron development progress, increased staff and staff related expenses as a result of hiring and prototype spend focused on expanding our spacecraft and spacecraft components product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80" w:type="dxa"/>
            <w:vAlign w:val="bottom"/>
            <w:tcBorders>
              <w:bottom w:val="single" w:sz="8" w:color="auto"/>
            </w:tcBorders>
          </w:tcPr>
          <w:p>
            <w:pPr>
              <w:jc w:val="center"/>
              <w:ind w:right="23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8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bl>
    <w:p>
      <w:pPr>
        <w:spacing w:after="0" w:line="18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$13.4 million, or 42%, for the three months ended September 30, 2025 as compared to the three months ended September 30, 2024, primarily due to increased staff and staff related expenses to support revenue growth and increased transaction expenses related to managing an active acquisition pipeline.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17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of interest income increased by $0.1 million, or 30%, for the three months ended September 30, 2025 as compared to the three months ended September 30, 2024, primarily due to an increase of interest expense from borrowings under the Trinity Loan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 (loss) on Foreign Exchange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jc w:val="center"/>
              <w:ind w:right="2355"/>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jc w:val="center"/>
              <w:ind w:right="250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Gain on foreign exchange increased by $0.9 million, or 179%, for the three months ended September 30, 2025 as compared to the three months ended September 30, 2024, primarily due to fluctuations on the foreign exchange rates of the New Zealand Dollar and Canadian Dollar as compared to the U.S. Dollar.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4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Other expense increased by $2.0 million, or 110%, for the three months ended September 30, 2025 as compared to the three months ended September 30, 2024, primarily due to a loss on disposal of assets for the three months ended September 30, 2025 and a gain on disposal of assets for the three months ended September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Benefit (Provision) for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7"/>
        </w:trPr>
        <w:tc>
          <w:tcPr>
            <w:tcW w:w="4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recorded income tax benefit of $41.1 million for the three months ended September 30, 2025 and income tax expense of $0.9 million for the three months ended September 30, 2024. The effective tax rate was 69.2% for the three months ended September 30, 2025, compared to (1.9)% for the three months ended September 30, 2024. The effective tax rate differs from the federal statutory rate due primarily to a full valuation allowance against our U.S. deferred tax assets, including the release of the valuation allowance related to the deferred tax liability from the GEOST acquisition, as well as the impact of discrete items that may occur in any given year but which are not consistent from year-to-year.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information and data as a percentage of revenue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40" w:type="dxa"/>
            <w:vAlign w:val="bottom"/>
            <w:tcBorders>
              <w:bottom w:val="single" w:sz="8" w:color="auto"/>
            </w:tcBorders>
          </w:tcPr>
          <w:p>
            <w:pPr>
              <w:spacing w:after="0"/>
              <w:rPr>
                <w:sz w:val="19"/>
                <w:szCs w:val="19"/>
                <w:color w:val="auto"/>
              </w:rPr>
            </w:pPr>
          </w:p>
        </w:tc>
      </w:tr>
      <w:tr>
        <w:trPr>
          <w:trHeight w:val="237"/>
        </w:trPr>
        <w:tc>
          <w:tcPr>
            <w:tcW w:w="4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spacing w:after="0"/>
              <w:rPr>
                <w:sz w:val="20"/>
                <w:szCs w:val="20"/>
                <w:color w:val="auto"/>
              </w:rPr>
            </w:pPr>
          </w:p>
        </w:tc>
      </w:tr>
      <w:tr>
        <w:trPr>
          <w:trHeight w:val="237"/>
        </w:trPr>
        <w:tc>
          <w:tcPr>
            <w:tcW w:w="48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303,826</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138,949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79,332</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191,937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126,139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316,745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217,584</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on foreign exchange</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8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38,966</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4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422,147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118,321</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bl>
    <w:p>
      <w:pPr>
        <w:spacing w:after="0" w:line="17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Revenue increased by $118.3 million, or 39%, for the nine months ended September 30, 2025 as compared to the nine months ended September 30, 2024. Space systems revenue was $299.0 million for the nine months ended September 30, 2025, an increase of $78.2 million, or 35%, primarily due to spacecraft manufacturing growth. Launch Services revenue was $123.2 million for the nine months ended September 30, 2025, an increase of $40.1 million, or 48%, primarily due to a higher launch cadence with 14 Electron launch missions completed in the nine months ended September 30, 2025, versus 11 launch missions completed in the nine months ended September 30, 2024, an increase in other launch revenue, which includes termination and study revenue, and higher revenue value per launch.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283,198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224,494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revenues increased by $58.7 million, or 26%, for the nine months ended September 30, 2025 as compared to the nine months ended September 30, 2024. Space systems cost of revenue was $205.2 million for the nine months ended September 30, 2025, an increase of $41.6 million, or 25%, primarily due to spacecraft manufacturing growth. Launch Services cost of revenues was $78.0 million in the nine months ended September 30, 2025, an increase of $17.1 million, or 28%, primarily due to a higher launch cadence.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191,937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184"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$65.8 million, or 52%, for the nine months ended September 30, 2025 as compared to the nine months ended September 30, 2024, primarily due to Neutron development progress, increased staff and staff related expenses as a result of hiring and prototype spend focused on expanding our spacecraft and spacecraft components product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jc w:val="center"/>
              <w:ind w:right="235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6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bl>
    <w:p>
      <w:pPr>
        <w:spacing w:after="0" w:line="17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$33.4 million, or 36%, for the nine months ended September 30, 2025 as compared to the nine months ended September 30, 2024, primarily due to increased staff and staff related expenses to support revenue growth and increased transaction expenses related to managing an active acquisition pipeline.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bl>
    <w:p>
      <w:pPr>
        <w:spacing w:after="0" w:line="18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increased by $3.4 million, or 155%, for the nine months ended September 30, 2025 as compared to the nine months ended September 30, 2024, primarily due to an increase of interest expense from our convertible senior notes and borrowings under the Trinity Loan Agreement and reduced interest income from interest-bearing accounts.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Foreign Exchange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on foreign exchange</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Loss on foreign exchange decreased by $0.2 million, or 49%, for the nine months ended September 30, 2025 as compared to the nine months ended September 30, 2024, primarily due to fluctuations on the foreign exchange rates of the New Zealand Dollar and Canadian Dollar as compared to the U.S. Dollar.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Other expense increased by $3.8 million, or 121%, for the nine months ended September 30, 2025 as compared to the nine months ended September 30, 2024, primarily due to a loss on disposal of assets for the nine months ended September 30, 2025 and a gain on disposal of assets for the three months ended September 30,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Benefit (Provision) for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3"/>
        </w:trPr>
        <w:tc>
          <w:tcPr>
            <w:tcW w:w="4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w:t>
            </w:r>
          </w:p>
        </w:tc>
      </w:tr>
      <w:tr>
        <w:trPr>
          <w:trHeight w:val="27"/>
        </w:trPr>
        <w:tc>
          <w:tcPr>
            <w:tcW w:w="4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recorded income tax benefit of $39.0 million for the nine months ended September 30, 2025 and income tax expense of $0.1 million for the nine months ended September 30, 2024. The effective tax rate was 21.1% for the nine months ended September 30, 2025, compared to (0.1)% for the nine months ended September 30, 2024. The effective tax rate differs from the federal statutory rate due primarily to a full valuation allowance against our U.S. deferred tax assets, including the release of the valuation allowance related to the deferred tax liability from the GEOST acquisition, as well as the impact of discrete items that may occur in any given year but which are not consistent from year-to-year.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Since inception, we have funded our operations with proceeds from sales of our capital stock, convertible senior notes, term note debt, equipment financing, research and development grant proceeds, and cash flows from the sale of our products and services. As of September 30, 2025, we had $807.9 million of cash and cash equivalents and $215.1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our business combination, net proceeds received from our ATM Equity Offerings and payments received from customers.</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2025, we had outstanding $424.9 million in aggregate principal amount of indebtedness under our convertible senior notes, equipment financing agreement and other financing agreements, of which $17.1 million was scheduled to become due in the following twelve months. As of September 30, 2025, our total minimum lease payments was $153.2 million, of which $17.4 million is due in the following twelve months. For details regarding our indebtedness and lease obligations at September 30, 2025, refer to Note 11, Loan Agreements, and Note 14, Leases, to our consolidated financial statements included elsewhere in this Quarterly Report on Form 10-Q.</w:t>
      </w:r>
    </w:p>
    <w:p>
      <w:pPr>
        <w:spacing w:after="0" w:line="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capital expenditures for the nine months ended September 30, 2025 were $106.6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we expect our capital and operating expenditures will increase significantly in connection with ongoing activities as we:</w:t>
      </w:r>
    </w:p>
    <w:p>
      <w:pPr>
        <w:spacing w:after="0" w:line="117"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marketing, advertising, sales and distribution infrastructure for our existing and future products and services;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new products and enhancements to existing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performance;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2025, there was $355.0 million outstanding under our 4.250% Convertible Senior Notes due 2029 (the “Convertible Notes”), before unamortized discount and debt issuance costs of $8.0 million. In addition, as of September 30, 2025, there was $68.2 million outstanding under the Trinity Loan Agreement, before unamortized discount and debt issuance and end of term costs of $1.5 million and another financing agreement with $1.7 million outstanding.</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11 of Item 1 for additional information on our outstanding loan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7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(46,503)</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(243,250)</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(80,401)</w:t>
            </w: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256,499</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130,358</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jc w:val="both"/>
        <w:ind w:right="140" w:firstLine="486"/>
        <w:spacing w:after="0" w:line="257" w:lineRule="auto"/>
        <w:rPr>
          <w:sz w:val="20"/>
          <w:szCs w:val="20"/>
          <w:color w:val="auto"/>
        </w:rPr>
      </w:pPr>
      <w:r>
        <w:rPr>
          <w:rFonts w:ascii="Times New Roman" w:cs="Times New Roman" w:eastAsia="Times New Roman" w:hAnsi="Times New Roman"/>
          <w:sz w:val="18"/>
          <w:szCs w:val="18"/>
          <w:color w:val="auto"/>
        </w:rPr>
        <w:t>Net cash used in operating activities was $101.0 million for the nine months ended September 30, 2025 and consisted of $145.3 million in net loss, $58.3 million in non-cash activities and $14.0 million in cash used by operating assets and liabilities. Included in the non-cash activities are $52.9 million in stock-based compensation expense and $29.2 million in depreciation and amortization, partially offset by $33.0 million in deferred income taxes.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Included in the cash used by operating assets and liabilities are $25.6 million in inventories, $19.4 million in accounts receivable, net, $17.5 million in prepaids and other current assets, $9.2 million in contract liabilities, $8.3 million in non-current lease liabilities, offset by cash provided in operating assets and liabilities including $43.4 million in employee benefits payable, $12.6 million in contract assets and $10.1 million in other non-current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of $243.3 million was primarily driven by $132.4 million cash paid for the GEOST acquisition, $106.6 million of capital equipment and infrastructure investments and net maturities, purchases and sales of marketable securities of $4.6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2025 of $881.7 million was primarily related to $845.3 million of net proceeds from the issuance of common stock under the ATM Equity Offerings, $24.7 million of net proceeds from a draw under the Trinity Loan Agreement and $15.0 million of net tax withholding, partially offset by $15.1 million of repayments under the Trinity Loan Agreement.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as disclosed in our audited financial statements included in our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except as set forth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20" w:firstLine="486"/>
        <w:spacing w:after="0" w:line="277" w:lineRule="auto"/>
        <w:rPr>
          <w:sz w:val="20"/>
          <w:szCs w:val="20"/>
          <w:color w:val="auto"/>
        </w:rPr>
      </w:pPr>
      <w:r>
        <w:rPr>
          <w:rFonts w:ascii="Times New Roman" w:cs="Times New Roman" w:eastAsia="Times New Roman" w:hAnsi="Times New Roman"/>
          <w:sz w:val="17"/>
          <w:szCs w:val="17"/>
          <w:color w:val="auto"/>
        </w:rPr>
        <w:t>The results of businesses acquired in a business combination are included in our condensed consolidated financial statements from the date of the acquisition. The Company uses the acquisition method of accounting for business combinations and recognizes assets acquired and liabilities assumed measured at their fair values on the date acquired. Goodwill is measured as of the acquisition date as the excess of consideration transferred over the net acquisition date fair value of the assets acquired and the liabilities assumed. The determination of fair values of identifiable assets and liabilities requires estimates and the use of valuation techniques when fair value is not readily available and requires a significant amount of management judgment.</w:t>
      </w:r>
    </w:p>
    <w:p>
      <w:pPr>
        <w:spacing w:after="0" w:line="6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and allocate the purchase price to its respective assets and liabilities. Determining the fair value of assets acquired and liabilities assumed requires us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certain business combinations, we may agree to pay contingent consideration based on the future performance of the acquired business. Contingent consideration is measured at fair value as of the acquisition date and included as part of the total purchase price. Subsequent changes in the fair value of contingent consideration are recognized in earnings in the period of the change. The determination of the fair value of contingent consideration requires significant judgment and estimates, including projections of future financial performance, discount rates and volatility assumptions.</w:t>
      </w:r>
    </w:p>
    <w:p>
      <w:pPr>
        <w:spacing w:after="0" w:line="7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These estimates are inherently uncertain, as they rely on forward-looking assumptions about our business and market conditions. Changes in these assumptions can materially impact the fair values assigned to identifiable intangible assets, goodwill and amortization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Information</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on May 23, 2025, the Company, Rocket Lab USA and U.S. Bank Trust Company, National Association (the “Trustee”) entered a first supplemental indenture (the “Supplemental Indenture”) to the indenture, dated as of February 6, 2024, between Rocket Lab USA and the Trustee (the “Indenture”), governing the Convertible Notes in order to (i) provide for subsequent conversions of the Convertible Notes in the manner set forth in Section 5.09 of the Indenture, (ii) provide for subsequent adjustments to the Conversion Rate pursuant to Section 5.05(A) of the Indenture in a manner consistent with Section 5.09 of the Indenture, (iii) provide for the full and unconditional guarantee of the obligations of Rocket Lab USA under the Convertible Notes and the Indenture and (iv) make such other changes as are appropriate to preserve the economic interests of the holders and to give effect to the provisions of Section 5.09(A) of the Indenture.</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2025, there was $355.0 million aggregate principal amount of issued and outstanding convertible senior notes of Rocket Lab USA that are fully and unconditionally guaranteed by the Company. Accordingly, pursuant to Rule 3-10 of Regulation S-X, separate consolidated financial statements of Rocket Lab USA have not been presented. As permitted under Rule 13-01(a)(4)(vi) of Regulation S-X, we have excluded summarized financial information for Rocket Lab USA because the assets, liabilities and results of operations of Rocket Lab USA are not materially different than the corresponding amounts in the Company’s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and inflation. In addition, we are subject to broader market risk that is created by the global market disruptions and uncertainties resulting from macroeconomic challenges, geopolitical events, tariffs, trade and other international disputes.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condensed consolidated statements of operations under the line item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and position.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$807.9 million, comprised primarily of operating accounts and money market instruments and $215.1 million invested in marketable securities, comprised of commercial paper, corporate debt securities, bank certificates of deposit, U.S. Treasury bills and notes and asset backed securities. We do not enter into investments for trading or speculative purposes and have not used any derivative financial instruments to manage our interest rate risk exposure.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1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Quarterly Report on Form 10-Q. Based upon such evaluation, our principal executive officer and principal financial officer have concluded that our disclosure controls and procedures were effective as of September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640" w:firstLine="486"/>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there were no changes in the our internal control over financial reporting (“ICFR”) identified in connection with the evaluation required by paragraph (d) of Rules 13a-15 or 15d-15 of the Exchange Act that has materially affected, or is reasonably likely to materially affect, the Company’s ICFR.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 Nevertheless, the Company and certain of its officers have been named as defendants in a putative securities class action filed in February 2025 in the United States District Court for the Central District of California. The case was purportedly filed on behalf of persons who claim to have suffered damages as a result of alleged misstatements concerning the progress of the Company’s Neutron rocket development. The Company filed a Motion to Dismiss the Complaint on August 27, 2025. Relying on many of the same allegations as the securities class action, in April 2025 two shareholders filed putative shareholder derivative actions on behalf of the Company against its directors and certain of its officers in the United States District Court for the Central District of California. The Court has granted the parties’ stipulation to stay these actions pending resolution of the Motion to Dismiss the securities class action. The Company intends to vigorously defend itself against these claims and is currently unable to predict the timing, outcome or consequences of these actions, or estimate any probable range of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I, Item 1A of our Annual Report on Form 10-K and Part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of our Quarterly Report on Form 10-Q for the period ended March 31, 2025, as filed with the SEC on May 8, 2025. See also Part I, Item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Form 10-Q for additional information regarding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ongoing U.S. government shutdown.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Sales of Unregistered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certain executive officers and directors of the Company (each, a “Plan Participant”) entered into Rule 10b5-1 trading plan (a “Rule 10b5-1 Trading Plan”) to sell shares of the Company’s common stock subject to any applicable volume limitations.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each Plan Participant’s Rule 10b5-1 Trading Plan.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Earliest Selling</w:t>
            </w: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 Shares That</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 w:type="dxa"/>
            <w:vAlign w:val="bottom"/>
            <w:vMerge w:val="restart"/>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Plan Date</w:t>
            </w:r>
          </w:p>
        </w:tc>
        <w:tc>
          <w:tcPr>
            <w:tcW w:w="120" w:type="dxa"/>
            <w:vAlign w:val="bottom"/>
            <w:vMerge w:val="restart"/>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9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May Be Sold Under the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Plan Expiration Date</w:t>
            </w:r>
          </w:p>
        </w:tc>
        <w:tc>
          <w:tcPr>
            <w:tcW w:w="0" w:type="dxa"/>
            <w:vAlign w:val="bottom"/>
          </w:tcPr>
          <w:p>
            <w:pPr>
              <w:spacing w:after="0"/>
              <w:rPr>
                <w:sz w:val="1"/>
                <w:szCs w:val="1"/>
                <w:color w:val="auto"/>
              </w:rPr>
            </w:pPr>
          </w:p>
        </w:tc>
      </w:tr>
      <w:tr>
        <w:trPr>
          <w:trHeight w:val="214"/>
        </w:trPr>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Start Date</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Plan</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Adam Spice</w:t>
            </w:r>
          </w:p>
        </w:tc>
        <w:tc>
          <w:tcPr>
            <w:tcW w:w="20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1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19, 2025</w:t>
            </w:r>
          </w:p>
        </w:tc>
        <w:tc>
          <w:tcPr>
            <w:tcW w:w="1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January 5, 2026</w:t>
            </w:r>
          </w:p>
        </w:tc>
        <w:tc>
          <w:tcPr>
            <w:tcW w:w="1280" w:type="dxa"/>
            <w:vAlign w:val="bottom"/>
            <w:vMerge w:val="restart"/>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1,365,665</w:t>
            </w:r>
          </w:p>
        </w:tc>
        <w:tc>
          <w:tcPr>
            <w:tcW w:w="60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1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7, 2027</w:t>
            </w:r>
          </w:p>
        </w:tc>
        <w:tc>
          <w:tcPr>
            <w:tcW w:w="0" w:type="dxa"/>
            <w:vAlign w:val="bottom"/>
          </w:tcPr>
          <w:p>
            <w:pPr>
              <w:spacing w:after="0"/>
              <w:rPr>
                <w:sz w:val="1"/>
                <w:szCs w:val="1"/>
                <w:color w:val="auto"/>
              </w:rPr>
            </w:pPr>
          </w:p>
        </w:tc>
      </w:tr>
      <w:tr>
        <w:trPr>
          <w:trHeight w:val="78"/>
        </w:trPr>
        <w:tc>
          <w:tcPr>
            <w:tcW w:w="1480" w:type="dxa"/>
            <w:vAlign w:val="bottom"/>
            <w:gridSpan w:val="2"/>
            <w:vMerge w:val="continue"/>
            <w:shd w:val="clear" w:color="auto" w:fill="CCEEFF"/>
          </w:tcPr>
          <w:p>
            <w:pPr>
              <w:spacing w:after="0"/>
              <w:rPr>
                <w:sz w:val="6"/>
                <w:szCs w:val="6"/>
                <w:color w:val="auto"/>
              </w:rPr>
            </w:pPr>
          </w:p>
        </w:tc>
        <w:tc>
          <w:tcPr>
            <w:tcW w:w="2040" w:type="dxa"/>
            <w:vAlign w:val="bottom"/>
            <w:gridSpan w:val="2"/>
            <w:vMerge w:val="continue"/>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4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Senior Vice President,</w:t>
            </w:r>
          </w:p>
        </w:tc>
        <w:tc>
          <w:tcPr>
            <w:tcW w:w="192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September 19, 2025</w:t>
            </w:r>
          </w:p>
        </w:tc>
        <w:tc>
          <w:tcPr>
            <w:tcW w:w="18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March 4, 2026</w:t>
            </w:r>
          </w:p>
        </w:tc>
        <w:tc>
          <w:tcPr>
            <w:tcW w:w="1280" w:type="dxa"/>
            <w:vAlign w:val="bottom"/>
            <w:vMerge w:val="restart"/>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w w:val="99"/>
              </w:rPr>
              <w:t>132,519</w:t>
            </w:r>
          </w:p>
        </w:tc>
        <w:tc>
          <w:tcPr>
            <w:tcW w:w="60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19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March 1, 2027</w:t>
            </w: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Arjun Kampani</w:t>
            </w:r>
          </w:p>
        </w:tc>
        <w:tc>
          <w:tcPr>
            <w:tcW w:w="20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General Counsel and</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80" w:type="dxa"/>
            <w:vAlign w:val="bottom"/>
            <w:gridSpan w:val="2"/>
            <w:vMerge w:val="continue"/>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Corporate Secretary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Frank Klein</w:t>
            </w:r>
          </w:p>
        </w:tc>
        <w:tc>
          <w:tcPr>
            <w:tcW w:w="20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Chief Operations Officer</w:t>
            </w:r>
          </w:p>
        </w:tc>
        <w:tc>
          <w:tcPr>
            <w:tcW w:w="1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19, 2025</w:t>
            </w:r>
          </w:p>
        </w:tc>
        <w:tc>
          <w:tcPr>
            <w:tcW w:w="1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January 2, 2026</w:t>
            </w:r>
          </w:p>
        </w:tc>
        <w:tc>
          <w:tcPr>
            <w:tcW w:w="1280" w:type="dxa"/>
            <w:vAlign w:val="bottom"/>
            <w:vMerge w:val="restart"/>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425,000</w:t>
            </w:r>
          </w:p>
        </w:tc>
        <w:tc>
          <w:tcPr>
            <w:tcW w:w="60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1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2026</w:t>
            </w:r>
          </w:p>
        </w:tc>
        <w:tc>
          <w:tcPr>
            <w:tcW w:w="0" w:type="dxa"/>
            <w:vAlign w:val="bottom"/>
          </w:tcPr>
          <w:p>
            <w:pPr>
              <w:spacing w:after="0"/>
              <w:rPr>
                <w:sz w:val="1"/>
                <w:szCs w:val="1"/>
                <w:color w:val="auto"/>
              </w:rPr>
            </w:pPr>
          </w:p>
        </w:tc>
      </w:tr>
      <w:tr>
        <w:trPr>
          <w:trHeight w:val="78"/>
        </w:trPr>
        <w:tc>
          <w:tcPr>
            <w:tcW w:w="1480" w:type="dxa"/>
            <w:vAlign w:val="bottom"/>
            <w:gridSpan w:val="2"/>
            <w:vMerge w:val="continue"/>
            <w:shd w:val="clear" w:color="auto" w:fill="CCEEFF"/>
          </w:tcPr>
          <w:p>
            <w:pPr>
              <w:spacing w:after="0"/>
              <w:rPr>
                <w:sz w:val="6"/>
                <w:szCs w:val="6"/>
                <w:color w:val="auto"/>
              </w:rPr>
            </w:pPr>
          </w:p>
        </w:tc>
        <w:tc>
          <w:tcPr>
            <w:tcW w:w="2040" w:type="dxa"/>
            <w:vAlign w:val="bottom"/>
            <w:gridSpan w:val="2"/>
            <w:vMerge w:val="continue"/>
            <w:shd w:val="clear" w:color="auto" w:fill="CCEEFF"/>
          </w:tcPr>
          <w:p>
            <w:pPr>
              <w:spacing w:after="0"/>
              <w:rPr>
                <w:sz w:val="6"/>
                <w:szCs w:val="6"/>
                <w:color w:val="auto"/>
              </w:rPr>
            </w:pPr>
          </w:p>
        </w:tc>
        <w:tc>
          <w:tcPr>
            <w:tcW w:w="1920" w:type="dxa"/>
            <w:vAlign w:val="bottom"/>
            <w:gridSpan w:val="2"/>
            <w:vMerge w:val="continue"/>
            <w:shd w:val="clear" w:color="auto" w:fill="CCEEFF"/>
          </w:tcPr>
          <w:p>
            <w:pPr>
              <w:spacing w:after="0"/>
              <w:rPr>
                <w:sz w:val="6"/>
                <w:szCs w:val="6"/>
                <w:color w:val="auto"/>
              </w:rPr>
            </w:pPr>
          </w:p>
        </w:tc>
        <w:tc>
          <w:tcPr>
            <w:tcW w:w="184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Nina Armagno</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19, 2025</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19, 2025</w:t>
            </w:r>
          </w:p>
        </w:tc>
        <w:tc>
          <w:tcPr>
            <w:tcW w:w="12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38,240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16, 2026</w:t>
            </w:r>
          </w:p>
        </w:tc>
        <w:tc>
          <w:tcPr>
            <w:tcW w:w="0" w:type="dxa"/>
            <w:vAlign w:val="bottom"/>
          </w:tcPr>
          <w:p>
            <w:pPr>
              <w:spacing w:after="0"/>
              <w:rPr>
                <w:sz w:val="1"/>
                <w:szCs w:val="1"/>
                <w:color w:val="auto"/>
              </w:rPr>
            </w:pPr>
          </w:p>
        </w:tc>
      </w:tr>
      <w:tr>
        <w:trPr>
          <w:trHeight w:val="219"/>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Jon Olson</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19, 2025</w:t>
            </w: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December 19, 2025</w:t>
            </w:r>
          </w:p>
        </w:tc>
        <w:tc>
          <w:tcPr>
            <w:tcW w:w="128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30,205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 2026</w:t>
            </w:r>
          </w:p>
        </w:tc>
        <w:tc>
          <w:tcPr>
            <w:tcW w:w="0" w:type="dxa"/>
            <w:vAlign w:val="bottom"/>
          </w:tcPr>
          <w:p>
            <w:pPr>
              <w:spacing w:after="0"/>
              <w:rPr>
                <w:sz w:val="1"/>
                <w:szCs w:val="1"/>
                <w:color w:val="auto"/>
              </w:rPr>
            </w:pPr>
          </w:p>
        </w:tc>
      </w:tr>
      <w:tr>
        <w:trPr>
          <w:trHeight w:val="21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Merline Saintil</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17, 2025</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17, 2025</w:t>
            </w:r>
          </w:p>
        </w:tc>
        <w:tc>
          <w:tcPr>
            <w:tcW w:w="12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22,500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2026</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right="400" w:firstLine="8"/>
        <w:spacing w:after="0" w:line="26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634,335 shares held by Mr. Spice and 731,330 shares issuable to Mr. Spice upon the exercise of approximately 22% of the vested stock options held by Mr. Spice as of the date of the Rule 10b5-1 Trading Plan, all of which are scheduled to expire in August 2028.</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5"/>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right="20" w:firstLine="8"/>
        <w:spacing w:after="0" w:line="258"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issuable upon the vesting and settlement of restricted stock units (“RSUs”) that will be available for sale under the Rule 10b5-1 Trading Plan is not yet determinable because the shares available will be net of shares sold to satisfy tax withholding obligations that arise in connection with the vesting and settlement of the related RSU awards. As such, for purposes of this disclosure, the shares included in this table reflect the aggregate maximum number of gross shares underlying the equity awards subject to the Rule 10b5-1 Trading Plan but without excluding the shares that will be sold to satisfy the tax withholding obligations upon vesting.</w:t>
      </w:r>
    </w:p>
    <w:p>
      <w:pPr>
        <w:spacing w:after="0" w:line="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i w:val="1"/>
          <w:iCs w:val="1"/>
          <w:color w:val="auto"/>
        </w:rPr>
        <w:t>Sell to Cover Trading Elections</w:t>
      </w:r>
    </w:p>
    <w:p>
      <w:pPr>
        <w:spacing w:after="0" w:line="119" w:lineRule="exact"/>
        <w:rPr>
          <w:sz w:val="20"/>
          <w:szCs w:val="20"/>
          <w:color w:val="auto"/>
        </w:rPr>
      </w:pPr>
    </w:p>
    <w:p>
      <w:pPr>
        <w:ind w:left="5" w:right="40" w:firstLine="486"/>
        <w:spacing w:after="0" w:line="255" w:lineRule="auto"/>
        <w:rPr>
          <w:sz w:val="20"/>
          <w:szCs w:val="20"/>
          <w:color w:val="auto"/>
        </w:rPr>
      </w:pPr>
      <w:r>
        <w:rPr>
          <w:rFonts w:ascii="Times New Roman" w:cs="Times New Roman" w:eastAsia="Times New Roman" w:hAnsi="Times New Roman"/>
          <w:sz w:val="18"/>
          <w:szCs w:val="18"/>
          <w:color w:val="auto"/>
        </w:rPr>
        <w:t>On September 19, 2025, each of: Adam Spice, Chief Financial Officer; Arjun Kampani, Senior Vice President, General Counsel and Corporate Secretary; and Frank Klein, Chief Operations Officer (together, the “Participants”), entered into Rule 10b5-1 trading arrangements that are each intended to qualify as a “plan providing for eligible sell-to-cover transactions" under Rule 10b5-1(c)(1)(ii)(D)(3) under the Exchange Act. The plans will apply to all RSUs granted to each Participant by the Company, whether granted prior to the date of the election or on or subsequent to the date of the election, pursuant to the Company’s 2021 Stock Option and Incentive Plan or any successor equity incentive plan. The sell-to-cover election provides for the sale of shares of common stock issued upon the vesting of restricted stock units in an amount sufficient to cover the federal, state, local, and foreign tax withholding obligations incurred in connection with such vesting.</w:t>
      </w:r>
    </w:p>
    <w:p>
      <w:pPr>
        <w:spacing w:after="0" w:line="81" w:lineRule="exact"/>
        <w:rPr>
          <w:sz w:val="20"/>
          <w:szCs w:val="20"/>
          <w:color w:val="auto"/>
        </w:rPr>
      </w:pPr>
    </w:p>
    <w:p>
      <w:pPr>
        <w:jc w:val="both"/>
        <w:ind w:left="5" w:right="40" w:firstLine="486"/>
        <w:spacing w:after="0" w:line="266" w:lineRule="auto"/>
        <w:rPr>
          <w:sz w:val="20"/>
          <w:szCs w:val="20"/>
          <w:color w:val="auto"/>
        </w:rPr>
      </w:pPr>
      <w:r>
        <w:rPr>
          <w:rFonts w:ascii="Times New Roman" w:cs="Times New Roman" w:eastAsia="Times New Roman" w:hAnsi="Times New Roman"/>
          <w:sz w:val="18"/>
          <w:szCs w:val="18"/>
          <w:color w:val="auto"/>
        </w:rPr>
        <w:t>The sell-to-cover elections are effective from December 19, 2025 until December 31, 2027, unless terminated earlier due to specified events, such as the individual’s death or legal or regulatory restrictions. The number of shares sold under these elections will vary based on the tax withholding obligations incurred upon vesting.</w:t>
      </w:r>
    </w:p>
    <w:p>
      <w:pPr>
        <w:spacing w:after="0" w:line="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4"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3"/>
        </w:trPr>
        <w:tc>
          <w:tcPr>
            <w:tcW w:w="1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760" w:type="dxa"/>
            <w:vAlign w:val="bottom"/>
            <w:tcBorders>
              <w:top w:val="single" w:sz="8" w:color="auto"/>
            </w:tcBorders>
            <w:gridSpan w:val="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Rocket Lab Corporation Senior Executive Cash Incentive Bonus Plan (incorporated by reference to Exhibit 10.1 to the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by Rocket Lab Corporation on August 29, 2025).</w:t>
              </w:r>
            </w:hyperlink>
          </w:p>
        </w:tc>
        <w:tc>
          <w:tcPr>
            <w:tcW w:w="6120" w:type="dxa"/>
            <w:vAlign w:val="bottom"/>
            <w:tcBorders>
              <w:top w:val="single" w:sz="8" w:color="0000FF"/>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 or 15d-14.</w:t>
            </w:r>
          </w:p>
        </w:tc>
        <w:tc>
          <w:tcPr>
            <w:tcW w:w="3000" w:type="dxa"/>
            <w:vAlign w:val="bottom"/>
            <w:gridSpan w:val="3"/>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 or 15d-14.</w:t>
            </w: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Exchange Act rules 13a-14(b) or 15d-14(b) and</w:t>
            </w:r>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8020" w:type="dxa"/>
            <w:vAlign w:val="bottom"/>
            <w:gridSpan w:val="6"/>
          </w:tcPr>
          <w:p>
            <w:pPr>
              <w:spacing w:after="0"/>
              <w:rPr>
                <w:sz w:val="17"/>
                <w:szCs w:val="17"/>
                <w:color w:val="auto"/>
              </w:rPr>
            </w:pPr>
          </w:p>
        </w:tc>
      </w:tr>
      <w:tr>
        <w:trPr>
          <w:trHeight w:val="326"/>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*Filed herewith.</w:t>
      </w:r>
    </w:p>
    <w:p>
      <w:pPr>
        <w:spacing w:after="0" w:line="8" w:lineRule="exact"/>
        <w:rPr>
          <w:sz w:val="20"/>
          <w:szCs w:val="20"/>
          <w:color w:val="auto"/>
        </w:rPr>
      </w:pPr>
    </w:p>
    <w:p>
      <w:pPr>
        <w:ind w:left="145" w:right="60" w:hanging="145"/>
        <w:spacing w:after="0" w:line="257" w:lineRule="auto"/>
        <w:tabs>
          <w:tab w:leader="none" w:pos="14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8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5"/>
          </w:cols>
          <w:pgMar w:left="315"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333"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Peter Beck</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20"/>
        <w:spacing w:after="0"/>
        <w:tabs>
          <w:tab w:leader="none" w:pos="5820" w:val="left"/>
          <w:tab w:leader="none" w:pos="6280" w:val="left"/>
        </w:tabs>
        <w:rPr>
          <w:sz w:val="20"/>
          <w:szCs w:val="20"/>
          <w:color w:val="auto"/>
        </w:rPr>
      </w:pPr>
      <w:r>
        <w:rPr>
          <w:rFonts w:ascii="Times New Roman" w:cs="Times New Roman" w:eastAsia="Times New Roman" w:hAnsi="Times New Roman"/>
          <w:sz w:val="18"/>
          <w:szCs w:val="18"/>
          <w:color w:val="auto"/>
        </w:rPr>
        <w:t>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Adam Spice</w:t>
      </w:r>
    </w:p>
    <w:p>
      <w:pPr>
        <w:spacing w:after="0" w:line="6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60"/>
          </w:cols>
          <w:pgMar w:left="320" w:top="117" w:right="8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 Peter Beck, certify that:</w:t>
      </w:r>
    </w:p>
    <w:p>
      <w:pPr>
        <w:spacing w:after="0" w:line="90" w:lineRule="exact"/>
        <w:rPr>
          <w:sz w:val="20"/>
          <w:szCs w:val="20"/>
          <w:color w:val="auto"/>
        </w:rPr>
      </w:pPr>
    </w:p>
    <w:p>
      <w:pPr>
        <w:ind w:left="1165" w:hanging="1165"/>
        <w:spacing w:after="0"/>
        <w:tabs>
          <w:tab w:leader="none" w:pos="11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5" w:right="60" w:hanging="1185"/>
        <w:spacing w:after="0" w:line="266"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5" w:right="360" w:hanging="1172"/>
        <w:spacing w:after="0" w:line="312" w:lineRule="auto"/>
        <w:tabs>
          <w:tab w:leader="none" w:pos="11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sz w:val="20"/>
          <w:szCs w:val="20"/>
          <w:color w:val="auto"/>
        </w:rPr>
      </w:pPr>
    </w:p>
    <w:p>
      <w:pPr>
        <w:ind w:left="1185" w:right="220" w:hanging="1185"/>
        <w:spacing w:after="0" w:line="276" w:lineRule="auto"/>
        <w:tabs>
          <w:tab w:leader="none" w:pos="1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5" w:right="200" w:hanging="1166"/>
        <w:spacing w:after="0" w:line="261" w:lineRule="auto"/>
        <w:tabs>
          <w:tab w:leader="none" w:pos="26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5" w:right="120" w:hanging="1166"/>
        <w:spacing w:after="0" w:line="289" w:lineRule="auto"/>
        <w:tabs>
          <w:tab w:leader="none" w:pos="2601"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5" w:right="300" w:hanging="1166"/>
        <w:spacing w:after="0" w:line="266" w:lineRule="auto"/>
        <w:tabs>
          <w:tab w:leader="none" w:pos="26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5" w:right="100" w:hanging="1166"/>
        <w:spacing w:after="0" w:line="261" w:lineRule="auto"/>
        <w:tabs>
          <w:tab w:leader="none" w:pos="260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5" w:right="280" w:hanging="1172"/>
        <w:spacing w:after="0" w:line="266" w:lineRule="auto"/>
        <w:tabs>
          <w:tab w:leader="none" w:pos="11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5" w:right="460" w:hanging="1166"/>
        <w:spacing w:after="0" w:line="266" w:lineRule="auto"/>
        <w:tabs>
          <w:tab w:leader="none" w:pos="26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5" w:right="280" w:hanging="1166"/>
        <w:spacing w:after="0" w:line="282" w:lineRule="auto"/>
        <w:tabs>
          <w:tab w:leader="none" w:pos="260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5"/>
        <w:spacing w:after="0"/>
        <w:tabs>
          <w:tab w:leader="none" w:pos="5665" w:val="left"/>
          <w:tab w:leader="none" w:pos="6125"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34290</wp:posOffset>
            </wp:positionV>
            <wp:extent cx="32486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0"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45"/>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5"/>
          </w:cols>
          <w:pgMar w:left="315" w:top="10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 AS ADOPTED PURSUANT TO SECTION 302 OF SARBANES-OXLEY ACT OF 2002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Spice, certify that:</w:t>
      </w:r>
    </w:p>
    <w:p>
      <w:pPr>
        <w:spacing w:after="0" w:line="90" w:lineRule="exact"/>
        <w:rPr>
          <w:sz w:val="20"/>
          <w:szCs w:val="20"/>
          <w:color w:val="auto"/>
        </w:rPr>
      </w:pPr>
    </w:p>
    <w:p>
      <w:pPr>
        <w:ind w:left="1160" w:hanging="1152"/>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Rocket Lab Corporation;</w:t>
      </w:r>
    </w:p>
    <w:p>
      <w:pPr>
        <w:spacing w:after="0" w:line="76" w:lineRule="exact"/>
        <w:rPr>
          <w:rFonts w:ascii="Times New Roman" w:cs="Times New Roman" w:eastAsia="Times New Roman" w:hAnsi="Times New Roman"/>
          <w:sz w:val="18"/>
          <w:szCs w:val="18"/>
          <w:color w:val="auto"/>
        </w:rPr>
      </w:pPr>
    </w:p>
    <w:p>
      <w:pPr>
        <w:ind w:left="1180" w:right="60" w:hanging="1172"/>
        <w:spacing w:after="0" w:line="266" w:lineRule="auto"/>
        <w:tabs>
          <w:tab w:leader="none" w:pos="1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1180" w:right="360" w:hanging="1172"/>
        <w:spacing w:after="0" w:line="312" w:lineRule="auto"/>
        <w:tabs>
          <w:tab w:leader="none" w:pos="11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Times New Roman" w:cs="Times New Roman" w:eastAsia="Times New Roman" w:hAnsi="Times New Roman"/>
          <w:sz w:val="17"/>
          <w:szCs w:val="17"/>
          <w:color w:val="auto"/>
        </w:rPr>
      </w:pPr>
    </w:p>
    <w:p>
      <w:pPr>
        <w:ind w:left="1180" w:right="220" w:hanging="1172"/>
        <w:spacing w:after="0" w:line="276" w:lineRule="auto"/>
        <w:tabs>
          <w:tab w:leader="none" w:pos="11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58" w:lineRule="exact"/>
        <w:rPr>
          <w:rFonts w:ascii="Times New Roman" w:cs="Times New Roman" w:eastAsia="Times New Roman" w:hAnsi="Times New Roman"/>
          <w:sz w:val="17"/>
          <w:szCs w:val="17"/>
          <w:color w:val="auto"/>
        </w:rPr>
      </w:pPr>
    </w:p>
    <w:p>
      <w:pPr>
        <w:ind w:left="2600" w:right="200" w:hanging="1166"/>
        <w:spacing w:after="0" w:line="261" w:lineRule="auto"/>
        <w:tabs>
          <w:tab w:leader="none" w:pos="25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8"/>
          <w:szCs w:val="18"/>
          <w:color w:val="auto"/>
        </w:rPr>
      </w:pPr>
    </w:p>
    <w:p>
      <w:pPr>
        <w:ind w:left="2600" w:right="120" w:hanging="1166"/>
        <w:spacing w:after="0" w:line="289" w:lineRule="auto"/>
        <w:tabs>
          <w:tab w:leader="none" w:pos="259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Times New Roman" w:cs="Times New Roman" w:eastAsia="Times New Roman" w:hAnsi="Times New Roman"/>
          <w:sz w:val="17"/>
          <w:szCs w:val="17"/>
          <w:color w:val="auto"/>
        </w:rPr>
      </w:pPr>
    </w:p>
    <w:p>
      <w:pPr>
        <w:ind w:left="2600" w:right="300" w:hanging="1166"/>
        <w:spacing w:after="0" w:line="266" w:lineRule="auto"/>
        <w:tabs>
          <w:tab w:leader="none" w:pos="25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8"/>
          <w:szCs w:val="18"/>
          <w:color w:val="auto"/>
        </w:rPr>
      </w:pPr>
    </w:p>
    <w:p>
      <w:pPr>
        <w:ind w:left="2600" w:right="100" w:hanging="1166"/>
        <w:spacing w:after="0" w:line="261" w:lineRule="auto"/>
        <w:tabs>
          <w:tab w:leader="none" w:pos="2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8"/>
          <w:szCs w:val="18"/>
          <w:color w:val="auto"/>
        </w:rPr>
      </w:pPr>
    </w:p>
    <w:p>
      <w:pPr>
        <w:ind w:left="1180" w:right="280" w:hanging="1172"/>
        <w:spacing w:after="0" w:line="266" w:lineRule="auto"/>
        <w:tabs>
          <w:tab w:leader="none" w:pos="1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2600" w:right="460" w:hanging="1166"/>
        <w:spacing w:after="0" w:line="266" w:lineRule="auto"/>
        <w:tabs>
          <w:tab w:leader="none" w:pos="25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18"/>
          <w:szCs w:val="18"/>
          <w:color w:val="auto"/>
        </w:rPr>
      </w:pPr>
    </w:p>
    <w:p>
      <w:pPr>
        <w:ind w:left="2600" w:right="280" w:hanging="1166"/>
        <w:spacing w:after="0" w:line="282" w:lineRule="auto"/>
        <w:tabs>
          <w:tab w:leader="none" w:pos="2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116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Rocket Lab Corporation (the “Company”) for the period ended September 30, 2025, as filed with the Securities and Exchange Commission on the date hereof (the “Report”), each of the undersigned officers hereby certify, pursuant to Section 906 of the Sarbanes-Oxley Act of 2002, 18 U.S.C. Section 1350, that to their knowledge:</w:t>
      </w:r>
    </w:p>
    <w:p>
      <w:pPr>
        <w:spacing w:after="0" w:line="68" w:lineRule="exact"/>
        <w:rPr>
          <w:sz w:val="20"/>
          <w:szCs w:val="20"/>
          <w:color w:val="auto"/>
        </w:rPr>
      </w:pPr>
    </w:p>
    <w:p>
      <w:pPr>
        <w:ind w:left="1420" w:right="80" w:hanging="246"/>
        <w:spacing w:after="0" w:line="282" w:lineRule="auto"/>
        <w:tabs>
          <w:tab w:leader="none" w:pos="14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420" w:right="220" w:hanging="246"/>
        <w:spacing w:after="0" w:line="282" w:lineRule="auto"/>
        <w:tabs>
          <w:tab w:leader="none" w:pos="14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Peter Beck</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20"/>
        <w:spacing w:after="0"/>
        <w:tabs>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957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4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Adam Spice</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3"/>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8"/>
    </w:lvl>
  </w:abstractNum>
  <w:abstractNum w:abstractNumId="21">
    <w:nsid w:val="71F32454"/>
    <w:multiLevelType w:val="hybridMultilevel"/>
    <w:lvl w:ilvl="0">
      <w:lvlJc w:val="left"/>
      <w:lvlText w:val="%1."/>
      <w:numFmt w:val="decimal"/>
      <w:start w:val="19"/>
    </w:lvl>
  </w:abstractNum>
  <w:abstractNum w:abstractNumId="22">
    <w:nsid w:val="2CA88611"/>
    <w:multiLevelType w:val="hybridMultilevel"/>
    <w:lvl w:ilvl="0">
      <w:lvlJc w:val="left"/>
      <w:lvlText w:val="%1."/>
      <w:numFmt w:val="decimal"/>
      <w:start w:val="20"/>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decimal"/>
      <w:start w:val="3"/>
    </w:lvl>
  </w:abstractNum>
  <w:abstractNum w:abstractNumId="30">
    <w:nsid w:val="6CEAF087"/>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76" Type="http://schemas.openxmlformats.org/officeDocument/2006/relationships/hyperlink" Target="https://www.sec.gov/Archives/edgar/data/1819994/00016282802504140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2025-11-10T15:37:34Z</dcterms:created>
  <dcterms:modified xsi:type="dcterms:W3CDTF">2025-11-10T15:37:34Z</dcterms:modified>
</cp:coreProperties>
</file>