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20" w:right="1860" w:hanging="3803"/>
        <w:spacing w:after="0" w:line="307"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jc w:val="center"/>
        <w:ind w:right="186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001-39560</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ROCKET LAB CORPORATION</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2" w:lineRule="exact"/>
        <w:rPr>
          <w:sz w:val="24"/>
          <w:szCs w:val="24"/>
          <w:color w:val="auto"/>
        </w:rPr>
      </w:pPr>
    </w:p>
    <w:tbl>
      <w:tblPr>
        <w:tblLayout w:type="fixed"/>
        <w:tblInd w:w="1620" w:type="dxa"/>
        <w:tblCellMar>
          <w:top w:w="0" w:type="dxa"/>
          <w:left w:w="0" w:type="dxa"/>
          <w:bottom w:w="0" w:type="dxa"/>
          <w:right w:w="0" w:type="dxa"/>
        </w:tblCellMar>
      </w:tblPr>
      <w:tr>
        <w:trPr>
          <w:trHeight w:val="190"/>
        </w:trPr>
        <w:tc>
          <w:tcPr>
            <w:tcW w:w="4320" w:type="dxa"/>
            <w:vAlign w:val="bottom"/>
          </w:tcPr>
          <w:p>
            <w:pPr>
              <w:jc w:val="center"/>
              <w:ind w:right="18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39-2182599</w:t>
            </w:r>
          </w:p>
        </w:tc>
      </w:tr>
      <w:tr>
        <w:trPr>
          <w:trHeight w:val="215"/>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3881 McGowen Street</w:t>
            </w:r>
          </w:p>
        </w:tc>
        <w:tc>
          <w:tcPr>
            <w:tcW w:w="304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90808</w:t>
            </w:r>
          </w:p>
        </w:tc>
      </w:tr>
      <w:tr>
        <w:trPr>
          <w:trHeight w:val="190"/>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Long Beach, California</w:t>
            </w:r>
          </w:p>
        </w:tc>
        <w:tc>
          <w:tcPr>
            <w:tcW w:w="3040" w:type="dxa"/>
            <w:vAlign w:val="bottom"/>
          </w:tcPr>
          <w:p>
            <w:pPr>
              <w:spacing w:after="0"/>
              <w:rPr>
                <w:sz w:val="16"/>
                <w:szCs w:val="16"/>
                <w:color w:val="auto"/>
              </w:rPr>
            </w:pPr>
          </w:p>
        </w:tc>
      </w:tr>
      <w:tr>
        <w:trPr>
          <w:trHeight w:val="230"/>
        </w:trPr>
        <w:tc>
          <w:tcPr>
            <w:tcW w:w="432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(714) 465-5737</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720" w:type="dxa"/>
            <w:vAlign w:val="bottom"/>
          </w:tcPr>
          <w:p>
            <w:pPr>
              <w:spacing w:after="0"/>
              <w:rPr>
                <w:sz w:val="15"/>
                <w:szCs w:val="15"/>
                <w:color w:val="auto"/>
              </w:rPr>
            </w:pPr>
          </w:p>
        </w:tc>
      </w:tr>
      <w:tr>
        <w:trPr>
          <w:trHeight w:val="190"/>
        </w:trPr>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186"/>
        </w:trPr>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RKLB</w:t>
            </w:r>
          </w:p>
        </w:tc>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44"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ind w:left="20"/>
        <w:spacing w:after="0"/>
        <w:tabs>
          <w:tab w:leader="none" w:pos="2560" w:val="left"/>
          <w:tab w:leader="none" w:pos="81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Accelerated filer</w:t>
      </w:r>
    </w:p>
    <w:p>
      <w:pPr>
        <w:spacing w:after="0" w:line="231" w:lineRule="exact"/>
        <w:rPr>
          <w:sz w:val="24"/>
          <w:szCs w:val="24"/>
          <w:color w:val="auto"/>
        </w:rPr>
      </w:pPr>
    </w:p>
    <w:p>
      <w:pPr>
        <w:ind w:left="20"/>
        <w:spacing w:after="0"/>
        <w:tabs>
          <w:tab w:leader="none" w:pos="2560" w:val="left"/>
          <w:tab w:leader="none" w:pos="81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231" w:lineRule="exact"/>
        <w:rPr>
          <w:sz w:val="24"/>
          <w:szCs w:val="24"/>
          <w:color w:val="auto"/>
        </w:rPr>
      </w:pPr>
    </w:p>
    <w:p>
      <w:pPr>
        <w:ind w:left="81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4"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3040"/>
        <w:spacing w:after="0" w:line="4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April 30, 2026, the registrant had 578,750,990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ectPr>
          <w:pgSz w:w="11900" w:h="16838" w:orient="portrait"/>
          <w:cols w:equalWidth="0" w:num="2">
            <w:col w:w="10680" w:space="340"/>
            <w:col w:w="22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The information included in this Quarterly Report on Form 10-Q has been provided by us and our management, and such forward-looking statements include statements relating to the expectations, hopes, beliefs, intentions or strategies regarding the future of Rocket Lab Corporation (the “Company” or "Rocket Lab") and its management team.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 forward-looking statements contained in this Quarterly Report on Form 10-Q are based on current expectations and beliefs concerning future developments and their potential effects on Rocket Lab.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below and under the heading “Risk Factors.”</w:t>
      </w:r>
    </w:p>
    <w:p>
      <w:pPr>
        <w:spacing w:after="0" w:line="82" w:lineRule="exact"/>
        <w:rPr>
          <w:sz w:val="20"/>
          <w:szCs w:val="20"/>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and achieve operational efficiencies;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56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our Neutron Launch Vehicle (“Neutron”) or significant delays in developing Neutron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officers, key employees or directors, and our ability to attract and retain key personnel, including Sir Peter Beck, our President, Chief Executive Officer and Chairman;</w:t>
      </w:r>
    </w:p>
    <w:p>
      <w:pPr>
        <w:spacing w:after="0" w:line="53" w:lineRule="exact"/>
        <w:rPr>
          <w:rFonts w:ascii="Times New Roman" w:cs="Times New Roman" w:eastAsia="Times New Roman" w:hAnsi="Times New Roman"/>
          <w:sz w:val="18"/>
          <w:szCs w:val="18"/>
          <w:color w:val="auto"/>
        </w:rPr>
      </w:pPr>
    </w:p>
    <w:p>
      <w:pPr>
        <w:ind w:left="820" w:right="10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 could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spacecraft, space systems or space system components failing to operate as intended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our business plans, forecasts and other expectations, including the integration of recently acquired businesses, and to identify and realize additional opportunities;</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53"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priorities, regulations, mandates or funding for programs in which we or our customers participate, which could negatively impact our business;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including tariffs;</w:t>
      </w:r>
    </w:p>
    <w:p>
      <w:pPr>
        <w:spacing w:after="0" w:line="117"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53" w:lineRule="exact"/>
        <w:rPr>
          <w:rFonts w:ascii="Times New Roman" w:cs="Times New Roman" w:eastAsia="Times New Roman" w:hAnsi="Times New Roman"/>
          <w:sz w:val="18"/>
          <w:szCs w:val="18"/>
          <w:color w:val="auto"/>
        </w:rPr>
      </w:pPr>
    </w:p>
    <w:p>
      <w:pPr>
        <w:ind w:left="820" w:right="60" w:hanging="326"/>
        <w:spacing w:after="0" w:line="289" w:lineRule="auto"/>
        <w:tabs>
          <w:tab w:leader="none" w:pos="81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comply with, and costs associated with complying, any contractual requirements, covenants and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spacing w:after="0" w:line="49" w:lineRule="exact"/>
        <w:rPr>
          <w:rFonts w:ascii="Times New Roman" w:cs="Times New Roman" w:eastAsia="Times New Roman" w:hAnsi="Times New Roman"/>
          <w:sz w:val="17"/>
          <w:szCs w:val="17"/>
          <w:color w:val="auto"/>
        </w:rPr>
      </w:pPr>
    </w:p>
    <w:p>
      <w:pPr>
        <w:ind w:left="820" w:right="160" w:hanging="326"/>
        <w:spacing w:after="0" w:line="312" w:lineRule="auto"/>
        <w:tabs>
          <w:tab w:leader="none" w:pos="81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31" w:lineRule="exact"/>
        <w:rPr>
          <w:rFonts w:ascii="Times New Roman" w:cs="Times New Roman" w:eastAsia="Times New Roman" w:hAnsi="Times New Roman"/>
          <w:sz w:val="17"/>
          <w:szCs w:val="17"/>
          <w:color w:val="auto"/>
        </w:rPr>
      </w:pPr>
    </w:p>
    <w:p>
      <w:pPr>
        <w:ind w:left="820" w:right="6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unauthorized access to our computer systems or those of third parties that we utilize in our operations, including those relating to cybersecurity or arising from cyber-attacks;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protect intellectual property;</w:t>
      </w:r>
    </w:p>
    <w:p>
      <w:pPr>
        <w:spacing w:after="0" w:line="117"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key raw materials or components used to produce our products or increases in prices of raw materials, including restrictions on our ability to obtain rare earth minerals;</w:t>
      </w:r>
    </w:p>
    <w:p>
      <w:pPr>
        <w:spacing w:after="0" w:line="53"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and consumption of resources as a result of acquisitions of other companies and success in integrating and otherwise achieving the benefits of recent and potential acquisitions;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inflation and interest rates, and fluctuations in foreign exchange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wars in Ukraine, Israel, Iran or other global conflicts;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government and commercial launch services and spacecraft industries;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the markets for rocket launch services, mission services, spacecraft and spacecraft components;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operational and financial resources or raise additional capital or generate sufficient cash flows;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this Quarterly Report on Form 10-Q entitled “Risk Factors.”</w:t>
      </w:r>
    </w:p>
    <w:p>
      <w:pPr>
        <w:spacing w:after="0" w:line="1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 All forward-looking statements are qualified in their entirety by this cautionary statement.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You should also note that we may announce material business and financial information to our investors using our website (including at https://investors.rocketlabcorp.com), filings with the SEC, webcasts, press releases, and conference calls. We use these mediums, as well as our official corporate accounts on social media outlets such as X (formerly Twitter), Facebook, LinkedIn, Instagram, Bluesky and YouTube, to broadcast our launches and other significant events, and to communicate with the public about our company, our products, and other matters. It is possible that the information that we make available may be deemed to be material information. We therefore encourage investors and others interested in our company to review the information that we make available on our website and through our other official social media channels. The information contained on, or that can be accessed through, our website or our social media channels is not a part of this Quarterly Report on Form 10-Q.</w:t>
      </w:r>
    </w:p>
    <w:p>
      <w:pPr>
        <w:spacing w:after="0" w:line="8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“Rocket Lab,” “Company,” “we,” “us” and “our” refer to Rocket Lab Corporation and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LAB CORPORATION AND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340" w:type="dxa"/>
            <w:vAlign w:val="bottom"/>
            <w:gridSpan w:val="18"/>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w:t>
            </w:r>
          </w:p>
        </w:tc>
        <w:tc>
          <w:tcPr>
            <w:tcW w:w="6000" w:type="dxa"/>
            <w:vAlign w:val="bottom"/>
            <w:gridSpan w:val="8"/>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(unaudited) and December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 for the Three Months Ended March 31,</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(Unaudited) for the Three Months Ended March 31,</w:t>
            </w:r>
          </w:p>
        </w:tc>
        <w:tc>
          <w:tcPr>
            <w:tcW w:w="3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2026 and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700" w:type="dxa"/>
            <w:vAlign w:val="bottom"/>
            <w:tcBorders>
              <w:top w:val="single" w:sz="8" w:color="0000FF"/>
            </w:tcBorders>
            <w:gridSpan w:val="3"/>
          </w:tcPr>
          <w:p>
            <w:pPr>
              <w:spacing w:after="0"/>
              <w:rPr>
                <w:sz w:val="21"/>
                <w:szCs w:val="21"/>
                <w:color w:val="auto"/>
              </w:rPr>
            </w:pPr>
          </w:p>
        </w:tc>
        <w:tc>
          <w:tcPr>
            <w:tcW w:w="740" w:type="dxa"/>
            <w:vAlign w:val="bottom"/>
            <w:gridSpan w:val="3"/>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gridSpan w:val="5"/>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7"/>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320" w:type="dxa"/>
            <w:vAlign w:val="bottom"/>
            <w:gridSpan w:val="11"/>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1"/>
                <w:szCs w:val="21"/>
                <w:color w:val="auto"/>
              </w:rPr>
            </w:pPr>
          </w:p>
        </w:tc>
        <w:tc>
          <w:tcPr>
            <w:tcW w:w="8020" w:type="dxa"/>
            <w:vAlign w:val="bottom"/>
            <w:gridSpan w:val="13"/>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w:t>
            </w:r>
          </w:p>
        </w:tc>
        <w:tc>
          <w:tcPr>
            <w:tcW w:w="6520" w:type="dxa"/>
            <w:vAlign w:val="bottom"/>
            <w:gridSpan w:val="9"/>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960" w:type="dxa"/>
            <w:vAlign w:val="bottom"/>
            <w:gridSpan w:val="10"/>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80" w:type="dxa"/>
            <w:vAlign w:val="bottom"/>
            <w:gridSpan w:val="12"/>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40" w:type="dxa"/>
            <w:vAlign w:val="bottom"/>
            <w:gridSpan w:val="14"/>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12"/>
          </w:tcPr>
          <w:p>
            <w:pPr>
              <w:ind w:left="452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81"/>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8"/>
        </w:trPr>
        <w:tc>
          <w:tcPr>
            <w:tcW w:w="1360" w:type="dxa"/>
            <w:vAlign w:val="bottom"/>
          </w:tcPr>
          <w:p>
            <w:pPr>
              <w:spacing w:after="0"/>
              <w:rPr>
                <w:sz w:val="21"/>
                <w:szCs w:val="21"/>
                <w:color w:val="auto"/>
              </w:rPr>
            </w:pPr>
          </w:p>
        </w:tc>
        <w:tc>
          <w:tcPr>
            <w:tcW w:w="70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AS OF MARCH 31, 2026 AND DECEMBER 31, 2025</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values)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02"/>
        </w:trPr>
        <w:tc>
          <w:tcPr>
            <w:tcW w:w="13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1,205,499</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828,660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187,917</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39,001</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61,606</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183,146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158,407</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89,953</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1,800,362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1,365,544</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343,988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319,473</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224,746</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208,738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205,750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90,371</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13,895</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82,247</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41,719</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15,672</w:t>
            </w: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2,819,941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2,324,478</w:t>
            </w:r>
          </w:p>
        </w:tc>
      </w:tr>
      <w:tr>
        <w:trPr>
          <w:trHeight w:val="27"/>
        </w:trPr>
        <w:tc>
          <w:tcPr>
            <w:tcW w:w="84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70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72,699</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benefits payable</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40,720</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25,803</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195,438</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23,555</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21,237</w:t>
            </w: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402,345</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334,476</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152,395</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Long-term borrowings, net</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85,191</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14,653</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12,952</w:t>
            </w:r>
          </w:p>
        </w:tc>
      </w:tr>
      <w:tr>
        <w:trPr>
          <w:trHeight w:val="23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555,574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602,624</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Preferred stock, $0.0001 par value; authorized shares: 100,000,000; issued and outstanding shares: 45,951,250 at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41"/>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$0.0001 par value; authorized shares: 2,500,000,000; issued shares: 621,718,750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589,525,802 at March 31, 2026 and December 31, 2025, respectively; outstanding shares: 575,767,500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543,574,552 at March 31, 2026 and December 31, 2025, respectively</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Treasury stock, at cost; shares: 45,951,250 at March 31, 2026 and December 31, 2025</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3,324,206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2,735,669</w:t>
            </w:r>
          </w:p>
        </w:tc>
      </w:tr>
      <w:tr>
        <w:trPr>
          <w:trHeight w:val="27"/>
        </w:trPr>
        <w:tc>
          <w:tcPr>
            <w:tcW w:w="8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(1,056,932)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(1,011,910)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2,264,367</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1,721,854</w:t>
            </w:r>
          </w:p>
        </w:tc>
      </w:tr>
      <w:tr>
        <w:trPr>
          <w:trHeight w:val="23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2,819,941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2,324,478</w:t>
            </w:r>
          </w:p>
        </w:tc>
      </w:tr>
      <w:tr>
        <w:trPr>
          <w:trHeight w:val="27"/>
        </w:trPr>
        <w:tc>
          <w:tcPr>
            <w:tcW w:w="13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13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08" w:right="339" w:bottom="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08" w:right="339"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1360" w:type="dxa"/>
            <w:vAlign w:val="bottom"/>
            <w:tcBorders>
              <w:top w:val="single" w:sz="8" w:color="0000FF"/>
            </w:tcBorders>
          </w:tcPr>
          <w:p>
            <w:pPr>
              <w:spacing w:after="0"/>
              <w:rPr>
                <w:sz w:val="24"/>
                <w:szCs w:val="24"/>
                <w:color w:val="auto"/>
              </w:rPr>
            </w:pPr>
          </w:p>
        </w:tc>
        <w:tc>
          <w:tcPr>
            <w:tcW w:w="696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4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96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 AND 2025</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696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80,804</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41,765</w:t>
            </w:r>
          </w:p>
        </w:tc>
        <w:tc>
          <w:tcPr>
            <w:tcW w:w="0" w:type="dxa"/>
            <w:vAlign w:val="bottom"/>
          </w:tcPr>
          <w:p>
            <w:pPr>
              <w:spacing w:after="0"/>
              <w:rPr>
                <w:sz w:val="1"/>
                <w:szCs w:val="1"/>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product revenues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53,869</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33,453</w:t>
            </w:r>
          </w:p>
        </w:tc>
        <w:tc>
          <w:tcPr>
            <w:tcW w:w="0" w:type="dxa"/>
            <w:vAlign w:val="bottom"/>
          </w:tcPr>
          <w:p>
            <w:pPr>
              <w:spacing w:after="0"/>
              <w:rPr>
                <w:sz w:val="1"/>
                <w:szCs w:val="1"/>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123,855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76,493</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80,513</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132,462</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94,435</w:t>
            </w:r>
          </w:p>
        </w:tc>
        <w:tc>
          <w:tcPr>
            <w:tcW w:w="0" w:type="dxa"/>
            <w:vAlign w:val="bottom"/>
          </w:tcPr>
          <w:p>
            <w:pPr>
              <w:spacing w:after="0"/>
              <w:rPr>
                <w:sz w:val="1"/>
                <w:szCs w:val="1"/>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(59,188)</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(45,022)</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(46,028)</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(60,181)</w:t>
            </w:r>
          </w:p>
        </w:tc>
        <w:tc>
          <w:tcPr>
            <w:tcW w:w="0" w:type="dxa"/>
            <w:vAlign w:val="bottom"/>
          </w:tcPr>
          <w:p>
            <w:pPr>
              <w:spacing w:after="0"/>
              <w:rPr>
                <w:sz w:val="1"/>
                <w:szCs w:val="1"/>
                <w:color w:val="auto"/>
              </w:rPr>
            </w:pPr>
          </w:p>
        </w:tc>
      </w:tr>
      <w:tr>
        <w:trPr>
          <w:trHeight w:val="20"/>
        </w:trPr>
        <w:tc>
          <w:tcPr>
            <w:tcW w:w="8320" w:type="dxa"/>
            <w:vAlign w:val="bottom"/>
            <w:tcBorders>
              <w:top w:val="single" w:sz="8" w:color="CFF0FC"/>
              <w:bottom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Rocket Lab Corporation: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320" w:type="dxa"/>
            <w:vAlign w:val="bottom"/>
            <w:tcBorders>
              <w:top w:val="single" w:sz="8" w:color="CFF0FC"/>
              <w:bottom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605,434,642</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505,614,185</w:t>
            </w:r>
          </w:p>
        </w:tc>
        <w:tc>
          <w:tcPr>
            <w:tcW w:w="0" w:type="dxa"/>
            <w:vAlign w:val="bottom"/>
          </w:tcPr>
          <w:p>
            <w:pPr>
              <w:spacing w:after="0"/>
              <w:rPr>
                <w:sz w:val="1"/>
                <w:szCs w:val="1"/>
                <w:color w:val="auto"/>
              </w:rPr>
            </w:pPr>
          </w:p>
        </w:tc>
      </w:tr>
      <w:tr>
        <w:trPr>
          <w:trHeight w:val="27"/>
        </w:trPr>
        <w:tc>
          <w:tcPr>
            <w:tcW w:w="1360" w:type="dxa"/>
            <w:vAlign w:val="bottom"/>
            <w:shd w:val="clear" w:color="auto" w:fill="CFF0FC"/>
          </w:tcPr>
          <w:p>
            <w:pPr>
              <w:spacing w:after="0"/>
              <w:rPr>
                <w:sz w:val="2"/>
                <w:szCs w:val="2"/>
                <w:color w:val="auto"/>
              </w:rPr>
            </w:pPr>
          </w:p>
        </w:tc>
        <w:tc>
          <w:tcPr>
            <w:tcW w:w="69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ROCKET LAB CORPORATION AND SUBSIDIARIES CONDENSED CONSOLIDATED STATEMENTS OF CHANGES IN STOCKHOLDERS’ EQUITY FOR THE THREE MONTHS ENDED MARCH 31, 2026 AND 2025 (unaudited;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5"/>
                <w:szCs w:val="15"/>
                <w:color w:val="auto"/>
              </w:rPr>
            </w:pPr>
          </w:p>
        </w:tc>
        <w:tc>
          <w:tcPr>
            <w:tcW w:w="164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5"/>
                <w:szCs w:val="15"/>
                <w:color w:val="auto"/>
              </w:rPr>
            </w:pP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7"/>
            <w:vMerge w:val="continue"/>
          </w:tcPr>
          <w:p>
            <w:pPr>
              <w:spacing w:after="0"/>
              <w:rPr>
                <w:sz w:val="9"/>
                <w:szCs w:val="9"/>
                <w:color w:val="auto"/>
              </w:rPr>
            </w:pPr>
          </w:p>
        </w:tc>
        <w:tc>
          <w:tcPr>
            <w:tcW w:w="16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080" w:type="dxa"/>
            <w:vAlign w:val="bottom"/>
            <w:gridSpan w:val="5"/>
            <w:vMerge w:val="restart"/>
          </w:tcPr>
          <w:p>
            <w:pPr>
              <w:jc w:val="right"/>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589,525,802</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2,735,669</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(1,011,910)</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1,721,854</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(45,022)</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2,801,601</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3"/>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ATM Equity Offering, net of issuance</w:t>
            </w:r>
          </w:p>
        </w:tc>
        <w:tc>
          <w:tcPr>
            <w:tcW w:w="2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6,358,097</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3"/>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444,921</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3"/>
            <w:vMerge w:val="restart"/>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444,922</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3"/>
            <w:vMerge w:val="continue"/>
            <w:shd w:val="clear" w:color="auto" w:fill="CFF0FC"/>
          </w:tcPr>
          <w:p>
            <w:pPr>
              <w:spacing w:after="0"/>
              <w:rPr>
                <w:sz w:val="16"/>
                <w:szCs w:val="16"/>
                <w:color w:val="auto"/>
              </w:rPr>
            </w:pPr>
          </w:p>
        </w:tc>
        <w:tc>
          <w:tcPr>
            <w:tcW w:w="760" w:type="dxa"/>
            <w:vAlign w:val="bottom"/>
            <w:tcBorders>
              <w:bottom w:val="single" w:sz="8" w:color="CFF0FC"/>
            </w:tcBorders>
            <w:gridSpan w:val="2"/>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3"/>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3"/>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3"/>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upon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23,033,250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115,870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115,872</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3"/>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621,718,750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3,324,206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(1,056,932)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2,264,367</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5"/>
                <w:szCs w:val="15"/>
                <w:color w:val="auto"/>
              </w:rPr>
            </w:pPr>
          </w:p>
        </w:tc>
        <w:tc>
          <w:tcPr>
            <w:tcW w:w="164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5"/>
                <w:szCs w:val="15"/>
                <w:color w:val="auto"/>
              </w:rPr>
            </w:pP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7"/>
            <w:vMerge w:val="continue"/>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0"/>
                <w:szCs w:val="10"/>
                <w:color w:val="auto"/>
              </w:rPr>
            </w:pPr>
          </w:p>
        </w:tc>
        <w:tc>
          <w:tcPr>
            <w:tcW w:w="940" w:type="dxa"/>
            <w:vAlign w:val="bottom"/>
            <w:gridSpan w:val="4"/>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60" w:type="dxa"/>
            <w:vAlign w:val="bottom"/>
            <w:gridSpan w:val="4"/>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504,453,785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1,198,909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(813,701)</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(2,805)</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382,453</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(60,616)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2,179,607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ATM Equity Offering, net of issuance</w:t>
            </w: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4,858,839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90,102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90,103</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Exchange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511,492,231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1,307,930</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(874,317)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431,294</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ROCKET LAB CORPORATION AND SUBSIDIARIES</w:t>
      </w:r>
    </w:p>
    <w:p>
      <w:pPr>
        <w:spacing w:after="0" w:line="31" w:lineRule="exact"/>
        <w:rPr>
          <w:sz w:val="20"/>
          <w:szCs w:val="20"/>
          <w:color w:val="auto"/>
        </w:rPr>
      </w:pPr>
    </w:p>
    <w:p>
      <w:pPr>
        <w:jc w:val="center"/>
        <w:ind w:left="324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FOR THE THREE MONTHS ENDED MARCH 31, 2026 AND 2025 (unaudited; in thousands)</w:t>
      </w:r>
    </w:p>
    <w:p>
      <w:pPr>
        <w:sectPr>
          <w:pgSz w:w="11900" w:h="16838" w:orient="portrait"/>
          <w:cols w:equalWidth="0" w:num="1">
            <w:col w:w="10139"/>
          </w:cols>
          <w:pgMar w:left="320" w:top="1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5"/>
        </w:trPr>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43"/>
        </w:trPr>
        <w:tc>
          <w:tcPr>
            <w:tcW w:w="7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19,234</w:t>
            </w:r>
          </w:p>
        </w:tc>
      </w:tr>
      <w:tr>
        <w:trPr>
          <w:trHeight w:val="243"/>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3"/>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Accretion of marketable securities purchased at a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43"/>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43"/>
        </w:trPr>
        <w:tc>
          <w:tcPr>
            <w:tcW w:w="7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r>
      <w:tr>
        <w:trPr>
          <w:trHeight w:val="243"/>
        </w:trPr>
        <w:tc>
          <w:tcPr>
            <w:tcW w:w="7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43"/>
        </w:trPr>
        <w:tc>
          <w:tcPr>
            <w:tcW w:w="7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Trade payables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43"/>
        </w:trPr>
        <w:tc>
          <w:tcPr>
            <w:tcW w:w="7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Employee benefits payables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43"/>
        </w:trPr>
        <w:tc>
          <w:tcPr>
            <w:tcW w:w="7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43"/>
        </w:trPr>
        <w:tc>
          <w:tcPr>
            <w:tcW w:w="7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79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(28,677)</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on disposal of assets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paid for business combinations, net of acquired cash</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(84,639)</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8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89,979</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84,699</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(28,601)</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ATM Equity Offerings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92,806</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Issuance costs related to ATM Equity Offerings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employees restricted stock units to cover taxes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Minimum tax withholding paid on behalf of employees for restricted stock units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secured term loans</w:t>
            </w:r>
          </w:p>
        </w:tc>
        <w:tc>
          <w:tcPr>
            <w:tcW w:w="18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Repayments on secured term loan</w:t>
            </w: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8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18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463,293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115,503</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32,949</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8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833,545</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275,302</w:t>
            </w: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1,211,023</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308,251</w:t>
            </w:r>
          </w:p>
        </w:tc>
      </w:tr>
      <w:tr>
        <w:trPr>
          <w:trHeight w:val="27"/>
        </w:trPr>
        <w:tc>
          <w:tcPr>
            <w:tcW w:w="7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Unpaid purchases of property, equipment and software</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issuance costs in connection with ATM Equity Offerings</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Convertible senior notes, net and accrued interest settled by issuance of common stock</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Payable to sellers in connection with business combinations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78" w:right="339" w:bottom="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60" w:right="2640"/>
        <w:spacing w:after="0" w:line="256" w:lineRule="auto"/>
        <w:rPr>
          <w:sz w:val="20"/>
          <w:szCs w:val="20"/>
          <w:color w:val="auto"/>
        </w:rPr>
      </w:pPr>
      <w:r>
        <w:rPr>
          <w:rFonts w:ascii="Times New Roman" w:cs="Times New Roman" w:eastAsia="Times New Roman" w:hAnsi="Times New Roman"/>
          <w:sz w:val="18"/>
          <w:szCs w:val="18"/>
          <w:b w:val="1"/>
          <w:bCs w:val="1"/>
          <w:color w:val="auto"/>
        </w:rPr>
        <w:t>ROCKET LAB CORPORATION AND SUBSIDIARIES NOTES TO CONDENSED CONSOLIDATED FINANCIAL STATEMENTS AS OF MARCH 31, 2026 AND DECEMBER 31, 2025 AND FOR THE THREE MONTHS ENDED MARCH 31, 2026 AND 2025</w:t>
      </w:r>
    </w:p>
    <w:p>
      <w:pPr>
        <w:spacing w:after="0" w:line="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95"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Rocket Lab Corporation (“Rocket Lab” and, together with its consolidated subsidiaries, the “Company,” “we,” “us” or “our”) is an end-to-end space company with an established track record of mission success headquartered in Long Beach, California and is the parent company for several wholly owned operating subsidiaries located in the United States, New Zealand, Canada and Australia. We deliver reliable launch services, spacecraft design services, spacecraft components, spacecraft manufacturing and other spacecraft and on-orbit management solutions that make it faster, easier and more affordable to access space. We operate one of the only private orbital launch ranges in the world, located in Mahia, New Zealand, enabling a unique degree of operational flexibility and control of customer launch manifests and mission assurance. While our business has historically been centered on the manufacture of small-class launch vehicles and related sale of launch services, we are currently innovating in the areas of medium-class launch vehicle and launch services, space systems design and manufacturing, on-orbit management solutions, and space data applications.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Consummation of Holding Company Reorganization</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May 8, 2025, Rocket Lab USA, Inc., a Delaware corporation (“Rocket Lab USA”), announced plans to implement a holding company reorganization (the “Reorganization”). On May 23, 2025, Rocket Lab USA implemented the Reorganization pursuant to an Agreement and Plan of Merger (the “Merger Agreement”) dated as of May 23, 2025, among Rocket Lab USA, Rocket Lab and Rocket Lab Merger Sub, Inc., a Delaware corporation and direct, wholly owned subsidiary of Rocket Lab (“Merger Sub”). Pursuant to the terms of the Merger Agreement, Merger Sub merged with and into Rocket Lab USA, with Rocket Lab USA continuing as the surviving corporation and a wholly owned subsidiary of Rocket Lab (the “Merger”). Following the Merger, Rocket Lab became the successor issuer to Rocket Lab USA.</w:t>
      </w:r>
    </w:p>
    <w:p>
      <w:pPr>
        <w:spacing w:after="0" w:line="75"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conformity with accounting standards generally accepted in the United States of America (“U.S. GAAP”) and the requirements of the SEC for interim financial information and include the accounts of Rocket Lab Corporation and its wholly owned subsidiaries after elimination of intercompany accounts and transactions. As permitted under those rules, certain footnotes or other financial information that are normally required by U.S. GAAP can be condensed or omitted. The Reorganization was accounted for as a reorganization of entities under common control, and as such, the consolidated financial statements reflect the Reorganization as if it had occurred at the beginning of the earliest period presented. These condensed consolidated financial statements have been prepared on the same basis as the annual consolidated financial statements and, in the opinion of management, reflect all adjustments, consisting only of normal recurring adjustments, which are necessary for the fair statement of the Company’s financial information. Certain amounts in the prior period condensed consolidated financial statements have been reclassified to conform to the current period presentation. These interim results are not necessarily indicative of the results to be expected for the fiscal year ending December 31, 2026, or for any other interim period or for any other future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an ongoing basis, our management evaluates estimates and assumptions including those related to revenue recognition, contract costs, loss reserves, valuation of stock-based compensation, deferred tax valuation allowances, goodwill, intangible assets and contingent consideration. We based our estimates on historical data and experience, as well as various other factors that our management believes to be reasonable under the circumstances, the results of which form the basis for making judgments about the carrying value of assets and liabilities. Actual results could differ from these estimates and assumptions.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the Company’s significant accounting policies during the three months ended March 31, 2026. Refer to </w:t>
      </w:r>
      <w:r>
        <w:rPr>
          <w:rFonts w:ascii="Times New Roman" w:cs="Times New Roman" w:eastAsia="Times New Roman" w:hAnsi="Times New Roman"/>
          <w:sz w:val="18"/>
          <w:szCs w:val="18"/>
          <w:i w:val="1"/>
          <w:iCs w:val="1"/>
          <w:color w:val="auto"/>
        </w:rPr>
        <w:t xml:space="preserve">Note 2 - Significant Accounting Policies </w:t>
      </w:r>
      <w:r>
        <w:rPr>
          <w:rFonts w:ascii="Times New Roman" w:cs="Times New Roman" w:eastAsia="Times New Roman" w:hAnsi="Times New Roman"/>
          <w:sz w:val="18"/>
          <w:szCs w:val="18"/>
          <w:color w:val="auto"/>
        </w:rPr>
        <w:t>disclosed 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in the Company’s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as filed with the SEC on February 26,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amendments in ASU 2024-03 will be applied prospectively with the option for retrospective application and early adoption is permitted. The Company is assessing the potential impact of adopting ASU 2024-03 on its financial statements.</w:t>
      </w:r>
    </w:p>
    <w:p>
      <w:pPr>
        <w:spacing w:after="0" w:line="7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ASU 2025-06 is effective for annual reporting periods beginning after December 15, 2027, with early adoption permitted and can be applied on either a prospective, modified, or retrospective basis. The Company is assessing the potential impact of adopting ASU 2025-06 on its financial statements.</w:t>
      </w:r>
    </w:p>
    <w:p>
      <w:pPr>
        <w:spacing w:after="0" w:line="7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(“ASU 2025-10”). ASU 2025-10 establishes guidance for the recognition, measurement, and presentation of government grants received by business entities. Under the new standard, a government grant is recognized only when it is probable that (i) the entity will satisfy the grant’s conditions and (ii) the grant will be received. If those conditions are met, the grant is classified either as a grant related to income or as a grant related to an asset, and the classification determines the appropriate accounting treatment. ASU No. 2025-10 retains the existing disclosure requirements in Topic 832, Government Assistance. The amendments are effective for annual reporting periods beginning after December 15, 2028, and for interim reporting periods within those annual reporting periods, with early adoption permitted. Entities may adopt the amendments using a modified-prospective, modified-retrospective, or full-retrospective approach for all government grants. We are currently evaluating the impact of the ASU on our disclosures and financial statements, including the approach and the timing of adoption.</w:t>
      </w:r>
    </w:p>
    <w:p>
      <w:pPr>
        <w:spacing w:after="0" w:line="76"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revenue by recognition model for the three months ended March 31,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6"/>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 by recognition model</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16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440" w:type="dxa"/>
            <w:vAlign w:val="bottom"/>
          </w:tcPr>
          <w:p>
            <w:pPr>
              <w:spacing w:after="0"/>
              <w:rPr>
                <w:sz w:val="17"/>
                <w:szCs w:val="17"/>
                <w:color w:val="auto"/>
              </w:rPr>
            </w:pPr>
          </w:p>
        </w:tc>
        <w:tc>
          <w:tcPr>
            <w:tcW w:w="10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740" w:type="dxa"/>
            <w:vAlign w:val="bottom"/>
            <w:tcBorders>
              <w:bottom w:val="single" w:sz="8" w:color="CFF0FC"/>
            </w:tcBorders>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87,714</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Over-time</w:t>
            </w: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112,634</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FF0FC"/>
            </w:tcBorders>
          </w:tcPr>
          <w:p>
            <w:pPr>
              <w:spacing w:after="0"/>
              <w:rPr>
                <w:sz w:val="2"/>
                <w:szCs w:val="2"/>
                <w:color w:val="auto"/>
              </w:rPr>
            </w:pPr>
          </w:p>
        </w:tc>
        <w:tc>
          <w:tcPr>
            <w:tcW w:w="23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 by recognition model</w:t>
            </w:r>
          </w:p>
        </w:tc>
        <w:tc>
          <w:tcPr>
            <w:tcW w:w="24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200,348</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4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6"/>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 by recognition model</w:t>
            </w: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Space</w:t>
            </w: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440" w:type="dxa"/>
            <w:vAlign w:val="bottom"/>
          </w:tcPr>
          <w:p>
            <w:pPr>
              <w:spacing w:after="0"/>
              <w:rPr>
                <w:sz w:val="18"/>
                <w:szCs w:val="18"/>
                <w:color w:val="auto"/>
              </w:rPr>
            </w:pPr>
          </w:p>
        </w:tc>
        <w:tc>
          <w:tcPr>
            <w:tcW w:w="10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7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54,739</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Over-time</w:t>
            </w: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by recognition model</w:t>
            </w:r>
          </w:p>
        </w:tc>
        <w:tc>
          <w:tcPr>
            <w:tcW w:w="27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41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(presented within contract assets) and customer advances and deposits (presented within contract liabilities) on the condensed consolidated balance sheets, where applicable. Amounts are generally billed as work progresses in accordance with agreed-upon milestones. These individual contract assets and liabilities are reported in a net position on a contract-by-contract basis on the condensed consolidated balance sheets at the end of each reporting period.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enforceable contracts as of March 31, 2026 and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96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39,001</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61,606</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(195,438)</w:t>
            </w:r>
          </w:p>
        </w:tc>
      </w:tr>
      <w:tr>
        <w:trPr>
          <w:trHeight w:val="446"/>
        </w:trPr>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contract liabilities for the three months ended March 31, 2026 were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35"/>
        </w:trPr>
        <w:tc>
          <w:tcPr>
            <w:tcW w:w="7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2025</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195,438</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 assumed at acquisition</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Customer advances received or billed, net</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130,970</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(85,221)</w:t>
            </w:r>
          </w:p>
        </w:tc>
      </w:tr>
      <w:tr>
        <w:trPr>
          <w:trHeight w:val="27"/>
        </w:trPr>
        <w:tc>
          <w:tcPr>
            <w:tcW w:w="796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March 31, 2026</w:t>
            </w:r>
          </w:p>
        </w:tc>
        <w:tc>
          <w:tcPr>
            <w:tcW w:w="2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241,412</w:t>
            </w: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revenue recognized from the contract liabilities consisted of the Company satisfying performance obligations during the normal course of business.</w:t>
      </w:r>
    </w:p>
    <w:p>
      <w:pPr>
        <w:spacing w:after="0" w:line="5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from changes in the transaction price associated with performance obligations satisfied in prior years during the three months ended March 31, 2026 and 2025 was not material.</w:t>
      </w:r>
    </w:p>
    <w:p>
      <w:pPr>
        <w:spacing w:after="0" w:line="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February 2022, the Company entered into a procurement agreement with MDA Corporation to design and manufacture of 17 spacecraft buses (the “MDA Contract”). The Company has determined that the projected delivery dates for certain deliverables will be later than the dates originally set out under the MDA Contract. This delay is the result of a number of factors, including delays that have arisen in the Company’s supply chain. Under the terms of the MDA Contract, the customer is potentially entitled to claim liquidated damages as a result of this delivery delay. The Company is similarly entitled to claim liquidated damages against certain suppliers that have contributed to these delays. At this time, it is not possible to determine with certainty the net amount, if any, of actual liquidated damages that could ultimately be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The Company’s backlog represents the estimated transaction prices on performance obligations to the Company’s customers for which work remains to be performed. The amount of backlog increases with new contracts or additions to existing contracts and decreases as revenue is recognized on existing contracts. Contracts are included in the amount of backlog when an enforceable agreement has been reached. Remaining backlog totaled $2,219,756 as of March 31, 2026, of which approximately 36% is expected to be recognized within 12 months, with the remaining 64% to be recognized beyond 12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Company’s customer that accounted for 10% or more of the total accounts receivable, net,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20" w:type="dxa"/>
            <w:vAlign w:val="bottom"/>
          </w:tcPr>
          <w:p>
            <w:pPr>
              <w:spacing w:after="0"/>
              <w:rPr>
                <w:sz w:val="16"/>
                <w:szCs w:val="16"/>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37"/>
        </w:trPr>
        <w:tc>
          <w:tcPr>
            <w:tcW w:w="962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9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Kratos SRE, Inc.</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62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the Company’s customer that accounted for 10% or more of the total revenue, was: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6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37"/>
        </w:trPr>
        <w:tc>
          <w:tcPr>
            <w:tcW w:w="962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customer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9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Financing</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signing of three separate multi-launch agreements with commercial customers, the Company entered into subordinated loan and security agreements. The commercial customers may choose to have certain milestone payments financed under the terms of the subordinated loan and security agreements. The receivables will bear no interest until the initial launch dates passes, after which interest will accrue at a fixed rate of 9.5%,10.8% or 12.6%, based on the commercial customer. Principal and interest payments will be made over 12 quarterly payments from the launch date.</w:t>
      </w:r>
    </w:p>
    <w:p>
      <w:pPr>
        <w:spacing w:after="0" w:line="7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July 2025, the Company received a full payoff of $7,489 and terminated the subordinated loan and security agreement with one of the commercial customers.</w:t>
      </w:r>
    </w:p>
    <w:p>
      <w:pPr>
        <w:spacing w:after="0" w:line="54"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$9,000 and $6,750 customer financing receivable in prepaids and other currents assets, respectively, and $15,200 and $16,138 customer financing receivable in other non-current assets, respectively, on the condensed consolidated balance sheets. Customer financing interest income for the three months ended March 31, 2026 and 2025 was $562 and $380, respectively.</w:t>
      </w:r>
    </w:p>
    <w:p>
      <w:pPr>
        <w:spacing w:after="0" w:line="64" w:lineRule="exact"/>
        <w:rPr>
          <w:sz w:val="20"/>
          <w:szCs w:val="20"/>
          <w:color w:val="auto"/>
        </w:rPr>
      </w:pPr>
    </w:p>
    <w:p>
      <w:pPr>
        <w:ind w:right="8500" w:firstLine="8"/>
        <w:spacing w:after="0" w:line="412" w:lineRule="auto"/>
        <w:tabs>
          <w:tab w:leader="none" w:pos="48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 GEOST</w:t>
      </w:r>
    </w:p>
    <w:p>
      <w:pPr>
        <w:spacing w:after="0" w:line="4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August 2025, the Company closed the acquisition of GEOST LLC ( “GEOST”) pursuant to a Stock Purchase Agreement (the “GEOST Purchase Agreement”), by and among Rocket Lab USA, LightRidge Solutions Holdings LP ("LightRidge Solutions"), and LightRidge Interco Solutions Holdings, Inc. (“LightRidge Interco”), which provided for, among other things, the Company’s purchase and acquisition of all of the issued and outstanding shares of common stock of LightRidge Interco, the owner of GEOST.</w:t>
      </w:r>
    </w:p>
    <w:p>
      <w:pPr>
        <w:spacing w:after="0" w:line="72"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GEOST Purchase Agreement, all of the issued and outstanding shares of LightRidge Interco were purchased in exchange for aggregate consideration of $275,000, consisting of approximately $125,000 in cash and 3,057,588 shares of common stock, subject in each case to customary adjustments at closing, including for cash, working capital, transaction expenses and indebtedness. Additionally, the GEOST Purchase Agreement provides for up to $50,000 in potential additional post-closing cash earnout payments to LightRidge Solutions tied to revenue targets of the GEOST business for 2026 and 2027.</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Consideration</w:t>
      </w:r>
    </w:p>
    <w:p>
      <w:pPr>
        <w:spacing w:after="0" w:line="2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purchase consideration and the estimates of the preliminary fair value of the assets acquired and the liabilities assumed by the Company in the acquisition:</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Fair value of common stock issued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(2)</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Prepaids and other current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Right-of-use assets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Employee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Identifiable net assets acquired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12, 2025</w:t>
            </w:r>
          </w:p>
        </w:tc>
      </w:tr>
      <w:tr>
        <w:trPr>
          <w:trHeight w:val="27"/>
        </w:trPr>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134,299</w:t>
            </w:r>
          </w:p>
        </w:tc>
      </w:tr>
      <w:tr>
        <w:trPr>
          <w:trHeight w:val="229"/>
        </w:trPr>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137,653</w:t>
            </w:r>
          </w:p>
        </w:tc>
      </w:tr>
      <w:tr>
        <w:trPr>
          <w:trHeight w:val="234"/>
        </w:trPr>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290,210</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77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70"/>
        </w:trPr>
        <w:tc>
          <w:tcPr>
            <w:tcW w:w="2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(32,354)</w:t>
            </w:r>
          </w:p>
        </w:tc>
      </w:tr>
      <w:tr>
        <w:trPr>
          <w:trHeight w:val="250"/>
        </w:trPr>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155,480</w:t>
            </w:r>
          </w:p>
        </w:tc>
      </w:tr>
      <w:tr>
        <w:trPr>
          <w:trHeight w:val="270"/>
        </w:trPr>
        <w:tc>
          <w:tcPr>
            <w:tcW w:w="2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134,730</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290,210</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ectPr>
          <w:pgSz w:w="11900" w:h="16838" w:orient="portrait"/>
          <w:cols w:equalWidth="0" w:num="2">
            <w:col w:w="8400" w:space="720"/>
            <w:col w:w="2120"/>
          </w:cols>
          <w:pgMar w:left="320" w:top="117" w:right="339" w:bottom="1440" w:gutter="0" w:footer="0" w:header="0"/>
          <w:type w:val="continuous"/>
        </w:sectPr>
      </w:pPr>
    </w:p>
    <w:p>
      <w:pPr>
        <w:ind w:right="40"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3,057,588 shares of common stock, with the fair value determined based on the Company’s common stock closing price of $45.02 on August 11, 2025.</w:t>
      </w:r>
    </w:p>
    <w:p>
      <w:pPr>
        <w:ind w:right="100"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to be paid in cash, was classified as a liability and included in other non-current liabilities on the condensed consolidated balance sheets. To estimate the fair value of the contingent consideration liability, management valued the earn-out based on the likelihood of reaching certain revenue targets. At the acquisition date, the fair value of the contingent consideration payable was measured based on a Monte Carlo simulation utilizing projections about future performance. Significant inputs at acquisition include revenue volatility of 29%, discount rate of 10% and projected financial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preliminary identifiable intangible assets acquired and the related expected lives for the finite-lived 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Estimated Life in Years</w:t>
            </w:r>
          </w:p>
        </w:tc>
        <w:tc>
          <w:tcPr>
            <w:tcW w:w="520" w:type="dxa"/>
            <w:vAlign w:val="bottom"/>
          </w:tcPr>
          <w:p>
            <w:pPr>
              <w:spacing w:after="0"/>
              <w:rPr>
                <w:sz w:val="20"/>
                <w:szCs w:val="20"/>
                <w:color w:val="auto"/>
              </w:rPr>
            </w:pPr>
          </w:p>
        </w:tc>
        <w:tc>
          <w:tcPr>
            <w:tcW w:w="21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172,300</w:t>
            </w:r>
          </w:p>
        </w:tc>
      </w:tr>
      <w:tr>
        <w:trPr>
          <w:trHeight w:val="22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20" w:type="dxa"/>
            <w:vAlign w:val="bottom"/>
            <w:tcBorders>
              <w:bottom w:val="single" w:sz="8" w:color="CCEEFF"/>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48"/>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acquired</w:t>
            </w: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Goodwill of $134,730 was recorded for the GEOST acquisition, representing the excess of the purchase price over the fair value of the identifiable net assets. The goodwill has been allocated to the space systems operating segment, reflecting the strategic operations of this operating segment. Goodwill recognized primarily represents the future revenue and earnings potential and certain other assets which were acquired, but that do not meet the recognition criteria, such as assembled workforce. The majority of goodwill is not expected to be deductible for income tax purposes.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Period</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measurement period, the Company will continue to obtain information to assist in determining the fair value of net assets acquired, which could differ materially from those preliminary estimates. Specifically, the Company is evaluating outstanding matters, including but not limited to, legal contingencies, other receivables, tax-related items and other assets. Measurement period adjustments, if applicable, were applied in the reporting period in which the adjustment amounts were determined. Measurement period adjustments for the three months ended March 31, 2026 did not have a material impact.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unaudited consolidated financial information summarized in the following table gives effect to the GEOST acquisition assuming it occurred on January 1, 2025. These unaudited consolidated pro forma operating results do not assume any impact from revenue, cost or other operating synergies that are expected as a result of the acquisitions. These unaudited consolidated pro forma operating results are presented for illustrative purposes only and are not indicative of the operating results that would have been achieved had the acquisition occurred on January 1, 2025, nor does the information project results for any future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50"/>
        </w:trPr>
        <w:tc>
          <w:tcPr>
            <w:tcW w:w="3300" w:type="dxa"/>
            <w:vAlign w:val="bottom"/>
            <w:tcBorders>
              <w:bottom w:val="single" w:sz="8" w:color="CCEEFF"/>
            </w:tcBorders>
          </w:tcPr>
          <w:p>
            <w:pPr>
              <w:spacing w:after="0"/>
              <w:rPr>
                <w:sz w:val="4"/>
                <w:szCs w:val="4"/>
                <w:color w:val="auto"/>
              </w:rPr>
            </w:pPr>
          </w:p>
        </w:tc>
        <w:tc>
          <w:tcPr>
            <w:tcW w:w="6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130,015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(66,391)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30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0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and marketable securities consisted of the following as of March 31, 2026 and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76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1,205,499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828,660</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187,917</w:t>
            </w:r>
          </w:p>
        </w:tc>
      </w:tr>
      <w:tr>
        <w:trPr>
          <w:trHeight w:val="27"/>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tcBorders>
              <w:bottom w:val="single" w:sz="8" w:color="CFF0FC"/>
            </w:tcBorders>
            <w:shd w:val="clear" w:color="auto" w:fill="CFF0FC"/>
          </w:tcPr>
          <w:p>
            <w:pPr>
              <w:spacing w:after="0"/>
              <w:rPr>
                <w:sz w:val="23"/>
                <w:szCs w:val="23"/>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93,494</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82,247</w:t>
            </w:r>
          </w:p>
        </w:tc>
      </w:tr>
      <w:tr>
        <w:trPr>
          <w:trHeight w:val="237"/>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 and marketable securities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1,476,845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1,098,824</w:t>
            </w:r>
          </w:p>
        </w:tc>
      </w:tr>
      <w:tr>
        <w:trPr>
          <w:trHeight w:val="27"/>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cash equivalents and marketable securities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204"/>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tcPr>
          <w:p>
            <w:pPr>
              <w:spacing w:after="0"/>
              <w:rPr>
                <w:sz w:val="17"/>
                <w:szCs w:val="17"/>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37"/>
        </w:trPr>
        <w:tc>
          <w:tcPr>
            <w:tcW w:w="266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1,100,859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1,100,859</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1,100,859</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28,030</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28,030</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112,328</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Yankee bonds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65,367</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30,119</w:t>
            </w:r>
          </w:p>
        </w:tc>
      </w:tr>
      <w:tr>
        <w:trPr>
          <w:trHeight w:val="237"/>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1,372,435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1,372,205</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1,100,859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271,346</w:t>
            </w: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marketable securities with unrealized losses by investment category and the length of time the marketable securities have been in a continuous loss position as of March 31,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00" w:type="dxa"/>
            <w:vAlign w:val="bottom"/>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In Loss Position for</w:t>
            </w:r>
          </w:p>
        </w:tc>
      </w:tr>
      <w:tr>
        <w:trPr>
          <w:trHeight w:val="190"/>
        </w:trPr>
        <w:tc>
          <w:tcPr>
            <w:tcW w:w="7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gridSpan w:val="4"/>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Less than 12 Months</w:t>
            </w:r>
          </w:p>
        </w:tc>
      </w:tr>
      <w:tr>
        <w:trPr>
          <w:trHeight w:val="37"/>
        </w:trPr>
        <w:tc>
          <w:tcPr>
            <w:tcW w:w="7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13"/>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37"/>
        </w:trPr>
        <w:tc>
          <w:tcPr>
            <w:tcW w:w="76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Yankee bonds</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760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146,203</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The Company has not observed a significant deterioration in credit quality of these securities, which are highly rated with moderate to low credit risk. Declines in value are largely attributable to current global economic conditions. The securities continue to make timely principal and interest payments, and the fair values are expected to recover as they approach maturity. The Company does not intend to sell the securities, and it is not more likely than not that the Company will be required to sell the securities, before the respective recoveries of their amortized cost bases, which may be maturity. As of March 31, 2026, the Company had not recognized an allowance for credit losses on any marketable securities in an unrealized loss position.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cash equivalents and marketable securities as of March 31,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76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1,278,754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1,278,711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two years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93,494</w:t>
            </w:r>
          </w:p>
        </w:tc>
      </w:tr>
      <w:tr>
        <w:trPr>
          <w:trHeight w:val="27"/>
        </w:trPr>
        <w:tc>
          <w:tcPr>
            <w:tcW w:w="76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1,372,435</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1,372,205</w:t>
            </w: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following financial assets and liabilities are measured at fair value on a recurring basis and are categorized using the fair value hierarchy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0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r>
      <w:tr>
        <w:trPr>
          <w:trHeight w:val="243"/>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1,100,859</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1,100,859</w:t>
            </w:r>
          </w:p>
        </w:tc>
      </w:tr>
      <w:tr>
        <w:trPr>
          <w:trHeight w:val="243"/>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27,331</w:t>
            </w: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28,030</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74,579</w:t>
            </w: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38,295</w:t>
            </w: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37,749</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27,072</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w:t>
            </w:r>
          </w:p>
        </w:tc>
      </w:tr>
      <w:tr>
        <w:trPr>
          <w:trHeight w:val="237"/>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1,166,226</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205,979</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1,372,205</w:t>
            </w: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r>
      <w:tr>
        <w:trPr>
          <w:trHeight w:val="243"/>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w:t>
            </w:r>
          </w:p>
        </w:tc>
      </w:tr>
      <w:tr>
        <w:trPr>
          <w:trHeight w:val="237"/>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41910</wp:posOffset>
            </wp:positionV>
            <wp:extent cx="3934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741,498</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741,498</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Yankee bonds</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790,566</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1,013,218</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 amounts shown above are not necessarily indicative of the amounts that the Company would realize upon disposition, nor do they indicate the Company’s intent or ability to dispose of the financial instrument.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for the three months ended March 31,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a contingent consideration liability related to potential earnout payments based on revenue targets pursuant to the GEOST Purchase Agreement. The estimated fair value of the contingent consideration is recorded using significant unobservable measures and other fair value inputs and is therefore classified as a Level 3 financial instrument.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contingent consideration obligations measured on a recurring basis using Level 3 inputs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0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8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its convertible senior notes on a quarterly basis for disclosure purposes. The Company considers the fair value of its convertible senior notes as of March 31, 2026 to be a Level 2 measurement due to limited trading activity of the convertible senior notes. As of March 31, 2026, the net carrying amount of the convertible senior notes was $36,869, with unamortized discount and debt issuance costs of $728. As of March 31, 2026, the total estimated fair value (Level 2) of the convertible senior notes was $521,052. The fair value was determined based on the closing trading price of the convertible senior notes as of the last day of trading for the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as of March 31, 2026 and December 31, 2025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1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93,013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68,712</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12,956</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183,146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158,407</w:t>
            </w:r>
          </w:p>
        </w:tc>
      </w:tr>
      <w:tr>
        <w:trPr>
          <w:trHeight w:val="27"/>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PREPAIDS AND OTHER CURRENT ASSETS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Prepaids and other current assets as of March 31, 2026 and December 31, 2025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1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 receivables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financing receivables</w:t>
            </w: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w:t>
            </w:r>
          </w:p>
        </w:tc>
      </w:tr>
      <w:tr>
        <w:trPr>
          <w:trHeight w:val="27"/>
        </w:trPr>
        <w:tc>
          <w:tcPr>
            <w:tcW w:w="81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83,874</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89,953</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as of March 31, 2026 and December 31, 2025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1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equipment, vehicles and office furniture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174,526</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Launch site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130,340</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111,167</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equipment—gross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410,338</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(97,189)</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(90,865)</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343,988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319,473</w:t>
            </w:r>
          </w:p>
        </w:tc>
      </w:tr>
      <w:tr>
        <w:trPr>
          <w:trHeight w:val="27"/>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recorded in the condensed consolidated statements of operations and comprehensive loss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expense</w:t>
            </w: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37"/>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carrying amount of goodwill was $208,738 and $205,750 as of March 31, 2026 and December 31, 2025, respectively. Substantially all goodwill is allocated to the Space Systems reportable segment. For all reporting units, there have been no events or changes in circumstances which indicate that it is more likely than not that the fair value of the reporting unit is below its carrying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intangible assets consisted of the following as of March 31, 2026 and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In-process technology</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220,567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In-process technology</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224,746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recorded in the condensed consolidated statements of operations and comprehensive loss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respectively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6"/>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7"/>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outlines the estimated future amortization expense related to intangible assets held as of March 31, 2026:</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(for the remaining period)</w:t>
            </w: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92,089</w:t>
            </w:r>
          </w:p>
        </w:tc>
      </w:tr>
      <w:tr>
        <w:trPr>
          <w:trHeight w:val="27"/>
        </w:trPr>
        <w:tc>
          <w:tcPr>
            <w:tcW w:w="976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220,067</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 and Notes</w:t>
      </w:r>
    </w:p>
    <w:p>
      <w:pPr>
        <w:spacing w:after="0" w:line="119"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In February 2024, the Company issued $355,000 aggregate principal amount of its 4.250% Convertible Senior Notes due 2029 (the “Notes”). The Notes were issued pursuant to, and are governed by, an indenture (the “Indenture”), dated as of February 6, 2024, between the Company and U.S. Bank Trust Company, National Association, as trustee (the “Trustee”).</w:t>
      </w:r>
    </w:p>
    <w:p>
      <w:pPr>
        <w:spacing w:after="0" w:line="68"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future indebtedness that is expressly subordinated to the Notes in right of payment; (iii) effectively subordinated to the Company’s existing and future secured indebtedness, including borrowings under its equipment financing agreement,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Notes accrue interest at a rate of 4.250% per annum, payable semi-annually in arrears on February 1 and August 1 of each year, beginning on August 1, 2024. The Notes mature on February 1, 2029, unless earlier converted, redeemed or repurchased. Before November 1, 2028, noteholders have the right to convert their Notes only during the following circumstances: (i) during any calendar quarter (and only during such calendar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calendar quarter, (ii) during the five consecutive business day period after any 10 consecutive trading day period, or the measurement period, in which the trading price per $1 principal amount of Notes for each trading day of the measurement period was less than 98% of the product of the last reported sale price of the Company’s common stock and the applicable conversion rate on each such trading day, (iii) upon the occurrence of certain corporate events or distributions specified in the Indenture or (iv) if the Company calls such Notes for redemption. From and after November 1, 2028,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195.1029 shares of common stock per $1 principal amount of Notes, which represents an initial conversion price of approximately $5.13 per share of common stock. The 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March 31, 2026, the holder of the Notes have the right to convert between April 1, 2026 and June 30, 2026 because the Company’s common stock price exceeded the applicable conversion price by 130% for the specified period of time during the quarter ended March 31, 2026.</w:t>
      </w:r>
    </w:p>
    <w:p>
      <w:pPr>
        <w:spacing w:after="0" w:line="8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For the three months ended March 31, 2026, the Company received conversion notices from holders for $118,057 aggregate principal amount of Notes. These conversions resulted in the issuance of 23,033,250 shares of common stock in accordance with the terms of the Indenture governing the Notes. As of March 31, 2026, the Company cannot be required to settle the Notes in cash and has the intent and ability to settle in common stock, therefore, the Notes were classified as non-current liabilities on the condensed consolidated balance sheet.</w:t>
      </w:r>
    </w:p>
    <w:p>
      <w:pPr>
        <w:spacing w:after="0" w:line="75"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there was $37,597 outstanding under the Notes, before unamortized discount and debt issuance costs of $728. As of March 31, 2026, the effective interest rate under the Notes was 5.0%.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on February 1, 2024 and February 2, 2024, the Company entered into privately negotiated capped call transactions (the “Capped Call Transactions”) with certain financial institutions. Collectively, the Capped Call Transactions cover, subject to customary adjustments, the number of shares of common stock initially underlying the Notes. The cost of the Capped Call Transactions was $43,168. The Capped Call Transactions are expected generally to reduce or offset the potential dilution to the Company’s common stock upon exercise of the Notes and/or the Company’s election to offset the cash payments the Company is required to make in excess of the principal amount of the Notes upon conversion of the Notes in the event that the market price per share of the Company’s common stock is greater than the strike price of the Capped Call Transactions (which initially corresponds to the initial conversion price of the Notes and is subject to certain adjustments under the terms of the Capped Call Transactions), with such reduction and/or offset subject to a cap based on the cap price of the Capped Call Transactions. The Capped Call Transactions have an initial cap price of $8.04 per share of the Company’s common stock, which represents a premium of 100% over the last reported sale price of the Company's common stock on February 1, 2024.</w:t>
      </w:r>
    </w:p>
    <w:p>
      <w:pPr>
        <w:spacing w:after="0" w:line="86"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Capped Call Transactions do not meet the criteria for separate accounting as a derivative as they are indexed to the Company’s stock. The premiums paid for the Capped Call Transactions have been included as a net reduction to additional paid-in capital within shareholders’ equity.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Trinity Master Equipment Financing Agreement</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December 29, 2023 (the “Effective Date”), the Company and certain of its subsidiaries (the “Subsidiaries”, together with the Company, the “Borrowers”), entered into a Master Equipment Financing Agreement (the “Trinity Loan Agreement”) with Trinity Capital, Inc., a Maryland corporation (the “Lender”) to provide financing for certain equipment and other property (the “Equipment”). The Trinity Loan Agreement provides that the Lender shall provide equipment financing in the aggregate of up to $120,000 (the “Conditional Commitment”), with advances (“Draws”) to be made as follows: (i) $70,000 on the Effective Date (the “Effective Date Draw”); and (ii) $40,000 to be drawn on the Effective Date (the “Blanket Lien Draw”), with each of the Effective Date Draw and Blanket Lien Draw payable over sixty (60) months beginning January 2024, with the final payments due in January 2029. After the Blanket Lien Draw was repaid in full, Borrowers were able to make Draws as follows: (x) $30,000 to be drawn in not more than three advances of at least $10,000 each at the Borrowers’ option no later than the date that is 18 months after the Effective Date; and (y) $20,000 to be drawn at Borrower’s option between January 1, 2025 and June 30, 2025, subject to customary conditions.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monthly payment factors under the Trinity Loan Agreement and Blanket Lien Draw had a term of 60 months and a rate factor of 0.022266.</w:t>
      </w:r>
    </w:p>
    <w:p>
      <w:pPr>
        <w:spacing w:after="0" w:line="11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March 2025, the Company made a draw of $25,000 under the Trinity Loan Agreement (the “March 2025 Draw”). This March 2025 Draw has a term of sixty (60) months and a rate factor of 0.022266.</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December 2025, the Company paid off all obligations under the Trinity Loan Agreement. As a result, the Trinity Loan Agreement was terminated.</w:t>
      </w:r>
    </w:p>
    <w:p>
      <w:pPr>
        <w:spacing w:after="0" w:line="125"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an exchange agreement dated December 3, 2024 with The Equatorial Trust (the “Trust”), a family trust established by Sir Peter Beck (“Sir Peter”), the Company’s Founder, President, Chief Executive Officer and Chairman, to exchange (the “Preferred Stock Exchange”) 50,951,250 shares of the Company’s common stock into 50,951,250 shares of the Company’s Series A Convertible Participating Preferred Stock, $0.0001 par value per share (the “Preferred Stock”). On January 7, 2025, the Preferred Stock Exchange was consummated (the “Closing”) and the Company filed the Certificate of Designation for the Preferred Stock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w:t>
      </w:r>
    </w:p>
    <w:p>
      <w:pPr>
        <w:spacing w:after="0" w:line="8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common stock exchanged in the Preferred Stock Exchange were reacquired at no cost and held in treasury stock until they are reissued or retired. The fair value of the Preferred Stock issued was determined to be equal to the fair value of the common stock exchanged.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Preferred Stock has the rights and restrictions set forth in a Certificate of Designation. Each share of Preferred Stock is convertible at any time at the option of the holder of the Preferred Stock (a “Holder”) into a number of shares of Common Stock at the then-applicable conversion rate (the “Conversion Rate”). In addition, each share of Preferred Stock automatically converts into a number of shares of Common Stock at the Conversion Rate upon the earliest to occur of (a) a transfer of such share (other than to a Permitted Transferee), (b) the first date on which Sir Peter no longer serves as (i) the Chief Executive Officer of the Company or (ii) such other executive officer position of the Company as approved by the Board, (c) Sir Peter’s death or permanent disability, or (d) the first date on which the outstanding shares of Preferred Stock no longer represent a minimum beneficial ownership by Sir Peter of five percent. A “Permitted Transferee” is defined in the Certificate of Designation and includes Sir Peter and his controlled affiliates. The Preferred Stock is not redeemable by the Company at any time.</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Certificate of Designation also provides that for so long as any shares of Preferred Stock are outstanding, the Holders, voting exclusively and as a separate class, will be entitled to designate and elect at least one individual to serve on the Board as a director (a “Preferred Stock Director”). In the event the Board increases its size to more than 10 members, the Holders are entitled to designate and elect, voting exclusively and as a separate class, one or more additional Preferred Stock Directors in order to maintain the right to elect ten percent of the total number of authorized directorships, rounded up to the nearest whole number. The right to designate a Preferred Stock Director is nontransferable.</w:t>
      </w:r>
    </w:p>
    <w:p>
      <w:pPr>
        <w:spacing w:after="0" w:line="7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after the satisfaction in full of the Company’s debts and the payment of any liquidation preference ranking senior to the Preferred Stock, Holders are entitled to receive an amount equal to $0.0001 per share of Preferred Stock. Following the payment of the full amount of the liquidation preference in respect of all outstanding shares of Preferred Stock, Holders participate pari passu with the holders of the Common Stock (on an as-if-converted-to-Common-Stock basis) in the net assets of the Company.</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Preferred Stock is not entitled to any scheduled dividend payments. Holders will be entitled to receive dividends on shares of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spacing w:after="0" w:line="7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Preferred Stock is convertible. In addition, the Company may not, without the affirmative vote of the Holders of a majority of the then outstanding shares of Preferred Stock: (a) alter, amend or repeal any provision of the Company’s certificate of incorporation if it would alter or change the powers, preferences or special rights of the Preferred Stock so as to affect them adversely, (b) alter or amend the Certificate of Designation, or (c) increase the authorized number of shares of Preferred Stock or authorize the issuance of additional shares of Preferred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March 2025, the Company entered into an ATM Equity Offering Sales Agreement (the “March Sales Agreement”) with BofA Securities, Inc., Cantor Fitzgerald &amp; Co., Stifel, Nicolaus &amp; Company, Incorporated and TD Securities (USA) LLC (collectively, the “March Sales Agents”), pursuant to which the Company offered and sold, from time to time, shares of its common stock having an aggregate offering price of up to $500,000 through the March Sales Agents, acting as its agents, or directly to the March Sales Agents, acting as principal (the “March ATM Equity Offering”).</w:t>
      </w:r>
    </w:p>
    <w:p>
      <w:pPr>
        <w:spacing w:after="0" w:line="7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September 2025, the Company entered into an ATM Equity Offering Sales Agreement (the “September Sales Agreement”) with BofA Securities, Inc., Cantor Fitzgerald &amp; Co., BTIG, LLC, KeyBanc Capital Markets Inc., Citizens JMP Securities, LLC, Needham &amp; Company, LLC and Roth Capital Partners, LLC (collectively, the “September Sales Agents”), pursuant to which the Company may offer and sell, from time to time, the shares of its common stock having an aggregate offering price of up to $750,000 through the September Sales Agents, acting as its agents, or directly to the September Sales Agents, acting as principal (the “September ATM Equity Offering”). In connection with entering into the September Sales Agreement, the Company terminated the March ATM Equity Offering and the March Sales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60" w:firstLine="486"/>
        <w:spacing w:after="0" w:line="257" w:lineRule="auto"/>
        <w:rPr>
          <w:sz w:val="20"/>
          <w:szCs w:val="20"/>
          <w:color w:val="auto"/>
        </w:rPr>
      </w:pPr>
      <w:r>
        <w:rPr>
          <w:rFonts w:ascii="Times New Roman" w:cs="Times New Roman" w:eastAsia="Times New Roman" w:hAnsi="Times New Roman"/>
          <w:sz w:val="18"/>
          <w:szCs w:val="18"/>
          <w:color w:val="auto"/>
        </w:rPr>
        <w:t>On March 17, 2026, the Company entered into an equity distribution agreement (the “Equity Distribution Agreement”, and together with the March ATM Equity Offering and the September ATM Equity Offering, the “ATM Equity Offerings”) with BofA Securities, Inc., BTIG, LLC, Cantor Fitzgerald &amp; Co., Citizens JMP Securities, LLC, Deutsche Bank Securities Inc., Goldman Sachs &amp; Co. LLC, KeyBanc Capital Markets Inc., Morgan Stanley &amp; Co.</w:t>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LLC, Needham &amp; Company, LLC, Roth Capital Partners, LLC and Stifel Nicolaus &amp; Company, Incorporated, as sales agents (collectively, the “Equity Distribution Sales Agents”), the Forward Sellers (as defined below) and the Forward Purchasers (as defined below). Under the Equity Distribution Agreement, the Company may offer and sell, from time to time, shares of the Company’s common stock, par value $0.0001 per share (“Common Stock”) (the “Shares”), through or to the Sales Agents, acting as the Company’s agents or principal, having an aggregate offering price of up to $1,000,000 or by the Forward Sellers, acting as sales agents for the relevant Forward Purchasers. In connection with entering into the Equity Distribution Agreement, the Company terminated the September ATM Equity Offering and the September Sales Agreement.</w:t>
      </w:r>
    </w:p>
    <w:p>
      <w:pPr>
        <w:spacing w:after="0" w:line="8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Equity Distribution Agreement provides that, in addition to the issuance and sale of shares of Common Stock through the Equity Distribution Sales Agents acting as sales agents or directly to the Equity Distribution Sales Agents acting as principals, the Company also may enter into forward sale agreements under separate forward sale confirmations between the Company and BofA Securities, Inc., Citizens JMP Securities, LLC, Deutsche Bank Securities Inc., Goldman Sachs &amp; Co. LLC, KeyBanc Capital Markets Inc., Morgan Stanley &amp; Co. LLC, Nomura Global Financial Products, Inc. and Stifel Nicolaus &amp; Company, Incorporated or one or more of their respective affiliates. These entities, when acting in such capacity, are defined as “Forward Purchasers.” In connection with each forward sale agreement, the relevant Forward Purchaser (or its affiliate or agent) will, at the Company’s request, attempt to borrow from third-party stock lenders and, through the relevant Sales Agent, sell a number of shares of Common Stock equal to the number of shares that underlie the forward sale agreement to hedge such forward sale agreement. Each of the Sales Agents, when acting as the agent for a Forward Purchaser, is defined as “Forward Seller,” except in the case of BTIG, LLC, for which references to the Forward Seller refer instead to Nomura Securities International, Inc. (acting through BTIG, LLC).</w:t>
      </w:r>
    </w:p>
    <w:p>
      <w:pPr>
        <w:spacing w:after="0" w:line="8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sold 4,858,839 shares of common stock, generating $92,806 in gross proceeds, before deducting $2,703 in underwriting discounts, commissions and other expenses under the terminated March ATM Equity Offering.</w:t>
      </w:r>
    </w:p>
    <w:p>
      <w:pPr>
        <w:spacing w:after="0" w:line="54"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sold 6,358,097 shares of common stock, generating $450,347 in gross proceeds, before deducting $5,425 in underwriting discounts, commissions and other expenses under the Equity Distribution Agreement.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shares of common stock sold under the September ATM Equity Offering for the three months ended March 31, 2026.</w:t>
      </w:r>
    </w:p>
    <w:p>
      <w:pPr>
        <w:spacing w:after="0" w:line="113"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a single active equity incentive plan, the Rocket Lab 2021 Stock Option and Incentive Plan (the “2021 Plan”), with the objective of attracting and retaining available employees and directors by providing stock-based and other performance-based compensation. The Rocket Lab 2013 Stock Option and Grant Plan (the “2013 Plan”) was terminated, but outstanding awards granted thereunder remain governed by it. The 2021 Plan provides for the grant of equity awards to officers, employees, directors and other key employees as well as service providers which include incentive stock options, non-qualified stock options, restricted stock awards, unrestricted stock awards, restricted stock units or any combination of the foregoing any of which may be performance based, as determined by the Company’s Compensation Committee. An aggregate of 59,875,000 shares were initially reserved for the issuance of awards under the 2021 Plan. The number of shares reserved for issuance under the 2021 Plan automatically increases each January 1, beginning on January 1, 2022, by 5% of the outstanding number of shares of common stock on the immediately preceding December 31, or such lesser amount as determined by the plan administrator. The Company was authorized to issue and has registered with the SEC 102,797,434 shares of common stock as equity awards to participants under the 2021 Plan as of March 31, 2026. There were 91,953,343 shares of common stock available for grant as of March 31, 2026.</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in the condensed consolidated statements of operations and comprehensive loss for the three months ended March 31, 2026 and 2025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0" w:type="dxa"/>
            <w:vAlign w:val="bottom"/>
          </w:tcPr>
          <w:p>
            <w:pPr>
              <w:spacing w:after="0"/>
              <w:rPr>
                <w:sz w:val="1"/>
                <w:szCs w:val="1"/>
                <w:color w:val="auto"/>
              </w:rPr>
            </w:pPr>
          </w:p>
        </w:tc>
      </w:tr>
      <w:tr>
        <w:trPr>
          <w:trHeight w:val="237"/>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Options issued to all optionees under the 2013 Plan vested over four years from the date of issuance (or earlier vesting start date, as determined by the board of directors) as follows: 25% on the first anniversary of date of grant and the remaining vest monthly over the remaining vesting term. All options had vested as of March 31,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granted 726,511 and 369,388 restricted stock units, respectively, to certain key employees pursuant to the 2021 Plan. The time-based service vesting condition is generally satisfied over periods of approximately four years as the employees provide service.</w:t>
      </w:r>
    </w:p>
    <w:p>
      <w:pPr>
        <w:spacing w:after="0" w:line="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On March 30, 2026, following approval by the Compensation Committee of the Board of Directors of the Company, Rocket Lab Limited, a New Zealand limited company and wholly-owned subsidiary of the Company, entered into an amendment to the amended and restated employment agreement, dated December 3, 2024, with Sir Peter Beck, the Company’s Chairman and Chief Executive Officer.</w:t>
      </w:r>
    </w:p>
    <w:p>
      <w:pPr>
        <w:spacing w:after="0" w:line="68"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addition, on March 30, 2026, Mr. Beck and the Company entered into a restricted stock unit (“RSU”) cancellation agreement pursuant to which Mr. Beck voluntarily forfeited and cancelled all unvested RSUs held by Mr. Beck, representing an aggregate of 392,155 shares of the Company’s common stock. Mr. Beck’s focus is the long-term appreciation of shareholder value rather than short-term cash or equity incentives. At Mr. Beck’s request, the capital previously allocated for this compensation will be redirected toward Company priorities and strategic R&amp;D initiatives, reinforcing a shared commitment to disciplined fiscal management and growth. For the three months ended March 31, 2026, the cancellations resulted in a one-time stock-based compensation expense of $11,180 recorded in selling, general and administrative. No portion of the cancelled RSUs will vest or become outstanding shares, and as a result, there will be no dilution to shareholders. The Company will not incur any additional stock-based compensation expense related to these cancelled RSUs in future periods.</w:t>
      </w:r>
    </w:p>
    <w:p>
      <w:pPr>
        <w:spacing w:after="0" w:line="8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expense related to unvested performance-based restricted stock units granted under the 2021 Plan was $129,005 and will be recognized upon vesting.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August 2021, the 2021 Employee Stock Purchase Plan (the “2021 ESPP”) was approved to reserve 9,980,000 shares of common stock for issuance for awards in accordance with the terms of the 2021 ESPP. In addition, the number of shares reserved for issuance will ultimately increase on January 1 of each year from 2022 to 2031 by the lesser of (i) 9,980,000 shares of common stock, (ii) 1% of the number of shares of common stock outstanding as of the close of business on the immediately preceding December 31 or (iii) the number of common stock shares as determined by the Company’s board of directors. The purpose of the 2021 ESPP is to enable eligible employees to use payroll deductions to purchase shares of common stock and thereby acquire an interest in the Company. Eligible employees are offered shares through a 12-month offering period, which consists of two consecutive 6-month purchase periods. Employees may purchase a limited amount of shares of our stock at a discount of up to 15% of the lesser of the fair market value at the beginning of the offering period or the end of each 6-month purchase period.</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no shares of common stock were issued under the 2021 ESPP. As of March 31, 2026, 19,580,628 shares of common stock authorized and registered with the SEC remain available for issuance under the 2021 ESPP. Total ESPP stock-based compensation expense recorded in the condensed consolidated statements of operations and comprehensive loss for the three months ended March 31, 2026 and 2025 was $2,258 and $1,574, respectively. As of March 31, 2026, the total unrecognized compensation expense related to the 2021 ESPP was $3,346 and will be recognized over the remaining offering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properties, vehicles and equipment. The Company’s leases have remaining lease terms of less than one year to twenty-four years, some of which include options to extend the lease term, and some of which include options to terminate the lease prior to the end of the agreed upon lease term. For purposes of calculating lease liabilities, lease terms include options to extend or terminate the lease when it is reasonably certain that the Company will exercise such options.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there have been no material changes in the Company’s lease portfolio since December 31, 2025.</w:t>
      </w:r>
    </w:p>
    <w:p>
      <w:pPr>
        <w:spacing w:after="0" w:line="113"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Claims</w:t>
      </w:r>
    </w:p>
    <w:p>
      <w:pPr>
        <w:spacing w:after="0" w:line="119"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The Company is, and from time to time may be, a party to claims and legal proceedings generally incidental to its business that are principally covered under contracts with its customers and insurance policies. In the opinion of management, there are no legal matters or claims likely to have a material adverse effect on the Company’s financial position, results of operations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commitments under its lease obligations (see Note 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contingent liability when it is both probable that a loss has been incurred, and the amount can be reasonably estimated. If these estimates and assumptions change or prove to be incorrect, it could have a material impact on the condensed consolidated financial statements. Contingencies are inherently unpredictable, and the assessments of the value can involve a series of complex judgments about future events and can rely heavily on estimates and assumptions.</w:t>
      </w:r>
    </w:p>
    <w:p>
      <w:pPr>
        <w:spacing w:after="0" w:line="7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SolAero Holdings, Inc. in January 2022, the Company assumed a contract with a customer to provide solar panel modules at a fixed price. The Company determined that it was probable that the costs to complete the solar panel modules as stipulated by the contract would exceed the firm fixed price of the solar panel modules. Accordingly, the Company recorded a provision for contract losses to recognize the contract at fair value at acquisition. As of March 31, 2026, the provision for contract losses outstanding on the contract was $4,799 and is recorded within other current liabilities on the condensed consolidated balance sheet.</w:t>
      </w:r>
    </w:p>
    <w:p>
      <w:pPr>
        <w:spacing w:after="0" w:line="71"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benefit for income taxes and effective tax rate for the three months ended March 31, 2026 and 2025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37"/>
        </w:trPr>
        <w:tc>
          <w:tcPr>
            <w:tcW w:w="79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7900" w:type="dxa"/>
            <w:vAlign w:val="bottom"/>
          </w:tcPr>
          <w:p>
            <w:pPr>
              <w:spacing w:after="0"/>
              <w:rPr>
                <w:sz w:val="16"/>
                <w:szCs w:val="16"/>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r>
      <w:tr>
        <w:trPr>
          <w:trHeight w:val="37"/>
        </w:trPr>
        <w:tc>
          <w:tcPr>
            <w:tcW w:w="790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960" w:type="dxa"/>
            <w:vAlign w:val="bottom"/>
            <w:tcBorders>
              <w:bottom w:val="single" w:sz="8" w:color="CFF0FC"/>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813</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benefit for income taxes for the three months ended March 31, 2026 and 2025 were computed using the estimated effective tax rates projected to be applicable for domestic and international taxable jurisdictions for the full year as adjusted for discrete items arising during each quarter.</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differs from the federal statutory rate due primarily to a full valuation allowance against U.S. deferred tax assets, as well as the impact of discrete items that may occur in any given year but which are not consistent from year-to-year.</w:t>
      </w:r>
    </w:p>
    <w:p>
      <w:pPr>
        <w:spacing w:after="0" w:line="5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Due to its net operating loss carryforwards, the Company remains subject to examination for U.S. federal and state jurisdictions for all years beginning with the year ended March 31, 2016. The Company's foreign subsidiaries are generally subject to examination within four years the end of the tax year during which the tax return was filed.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holder of each share of common stock has the right to one vote for each share and is entitled to notice of any stockholders’ meeting and to vote upon certain events.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holder of the Preferred Stock has similar rights and characteristics to common stock and for the purposes of the calculation of earnings per share, the Preferred Stock is treated as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Calculation</w:t>
      </w:r>
    </w:p>
    <w:p>
      <w:pPr>
        <w:spacing w:after="0" w:line="11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 average number of common shares outstanding during each period.</w:t>
      </w:r>
    </w:p>
    <w:p>
      <w:pPr>
        <w:spacing w:after="0" w:line="5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net loss attributable to common stockholders by the weighted average number of common and dilutive common equivalent shares outstanding for the period using the treasury-stock method and the if-converted method, whichever is more dilutive. Potentially dilutive shares are comprised of restricted stock units, stock options and shares underlying our convertible senior notes. For the three months ended March 31, 2026 and 2025, there is no difference in the number of shares used to calculate basic and diluted shares outstanding due to the Company’s net loss and potentially dilutive shares being anti-dilutive.</w:t>
      </w:r>
    </w:p>
    <w:p>
      <w:pPr>
        <w:spacing w:after="0" w:line="7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for the three months ended March 31, 2026 and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FF0FC"/>
            </w:tcBorders>
          </w:tcPr>
          <w:p>
            <w:pPr>
              <w:spacing w:after="0"/>
              <w:rPr>
                <w:sz w:val="3"/>
                <w:szCs w:val="3"/>
                <w:color w:val="auto"/>
              </w:rPr>
            </w:pPr>
          </w:p>
        </w:tc>
        <w:tc>
          <w:tcPr>
            <w:tcW w:w="820" w:type="dxa"/>
            <w:vAlign w:val="bottom"/>
            <w:tcBorders>
              <w:bottom w:val="single" w:sz="8" w:color="CFF0FC"/>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716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FF0FC"/>
          </w:tcPr>
          <w:p>
            <w:pPr>
              <w:spacing w:after="0"/>
              <w:rPr>
                <w:sz w:val="15"/>
                <w:szCs w:val="15"/>
                <w:color w:val="auto"/>
              </w:rPr>
            </w:pPr>
          </w:p>
        </w:tc>
        <w:tc>
          <w:tcPr>
            <w:tcW w:w="816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48"/>
        </w:trPr>
        <w:tc>
          <w:tcPr>
            <w:tcW w:w="20" w:type="dxa"/>
            <w:vAlign w:val="bottom"/>
            <w:tcBorders>
              <w:top w:val="single" w:sz="8" w:color="CFF0FC"/>
            </w:tcBorders>
            <w:shd w:val="clear" w:color="auto" w:fill="CFF0FC"/>
          </w:tcPr>
          <w:p>
            <w:pPr>
              <w:spacing w:after="0"/>
              <w:rPr>
                <w:sz w:val="4"/>
                <w:szCs w:val="4"/>
                <w:color w:val="auto"/>
              </w:rPr>
            </w:pPr>
          </w:p>
        </w:tc>
        <w:tc>
          <w:tcPr>
            <w:tcW w:w="820" w:type="dxa"/>
            <w:vAlign w:val="bottom"/>
            <w:tcBorders>
              <w:top w:val="single" w:sz="8" w:color="auto"/>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71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11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w w:val="98"/>
              </w:rPr>
              <w:t>Denominator</w:t>
            </w:r>
          </w:p>
        </w:tc>
        <w:tc>
          <w:tcPr>
            <w:tcW w:w="7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605,434,642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505,614,185</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8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stockholders-basic and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1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equity shares were excluded from the calculation of diluted net loss per share attributable to common stockholders because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r>
      <w:tr>
        <w:trPr>
          <w:trHeight w:val="37"/>
        </w:trPr>
        <w:tc>
          <w:tcPr>
            <w:tcW w:w="44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4460" w:type="dxa"/>
            <w:vAlign w:val="bottom"/>
          </w:tcPr>
          <w:p>
            <w:pPr>
              <w:spacing w:after="0"/>
              <w:rPr>
                <w:sz w:val="16"/>
                <w:szCs w:val="16"/>
                <w:color w:val="auto"/>
              </w:rPr>
            </w:pPr>
          </w:p>
        </w:tc>
        <w:tc>
          <w:tcPr>
            <w:tcW w:w="520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460" w:type="dxa"/>
            <w:vAlign w:val="bottom"/>
            <w:tcBorders>
              <w:bottom w:val="single" w:sz="8" w:color="CFF0FC"/>
            </w:tcBorders>
          </w:tcPr>
          <w:p>
            <w:pPr>
              <w:spacing w:after="0"/>
              <w:rPr>
                <w:sz w:val="3"/>
                <w:szCs w:val="3"/>
                <w:color w:val="auto"/>
              </w:rPr>
            </w:pPr>
          </w:p>
        </w:tc>
        <w:tc>
          <w:tcPr>
            <w:tcW w:w="372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5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14,572,468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26,372,525</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our convertible senior notes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7,335,284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69,261,530</w:t>
            </w:r>
          </w:p>
        </w:tc>
      </w:tr>
      <w:tr>
        <w:trPr>
          <w:trHeight w:val="810"/>
        </w:trPr>
        <w:tc>
          <w:tcPr>
            <w:tcW w:w="4460" w:type="dxa"/>
            <w:vAlign w:val="bottom"/>
          </w:tcPr>
          <w:p>
            <w:pPr>
              <w:spacing w:after="0"/>
              <w:rPr>
                <w:sz w:val="24"/>
                <w:szCs w:val="24"/>
                <w:color w:val="auto"/>
              </w:rPr>
            </w:pPr>
          </w:p>
        </w:tc>
        <w:tc>
          <w:tcPr>
            <w:tcW w:w="3720" w:type="dxa"/>
            <w:vAlign w:val="bottom"/>
          </w:tcPr>
          <w:p>
            <w:pPr>
              <w:jc w:val="right"/>
              <w:ind w:right="2375"/>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1"/>
        </w:trPr>
        <w:tc>
          <w:tcPr>
            <w:tcW w:w="44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reviews financial information presented based on a management approach for the purposes of making operating decisions, assessing financial performance and allocating resources. The Company manages its business primarily based upon two operating segments, launch services and space systems. Each of these operating segments represents a reportable segment. Launch Services provides launch and launch related services to customers on a dedicated mission or ride share basis. Space systems is predominately comprised of spacecraft components and spacecraft manufacturing. Although some of the Company’s contracts with customers contain elements of space systems and launch services, each reporting segment is managed separately to better align with customer’s needs and the Company’s growth plans. For contracts with customers that contain both space systems and launch services elements, revenues for each reporting segment are generally allocated based upon the overall costs incurred for each of the reporting segments in comparison to total overall costs of the contract. The following table shows information by reportable segment for the three months ended March 31, 2026 and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Space</w:t>
            </w:r>
          </w:p>
        </w:tc>
      </w:t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37"/>
        </w:trPr>
        <w:tc>
          <w:tcPr>
            <w:tcW w:w="5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58,947</w:t>
            </w:r>
          </w:p>
        </w:tc>
      </w:tr>
      <w:tr>
        <w:trPr>
          <w:trHeight w:val="27"/>
        </w:trPr>
        <w:tc>
          <w:tcPr>
            <w:tcW w:w="50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48,270</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28,030</w:t>
            </w: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information by reportable segment by products and services for the three months ended March 31,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28"/>
        </w:trPr>
        <w:tc>
          <w:tcPr>
            <w:tcW w:w="5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Launch</w:t>
            </w:r>
          </w:p>
        </w:tc>
        <w:tc>
          <w:tcPr>
            <w:tcW w:w="3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Space</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Space</w:t>
            </w:r>
          </w:p>
        </w:tc>
      </w:t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7"/>
                <w:szCs w:val="17"/>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127,488</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80,804</w:t>
            </w: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53,869</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26,935</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r>
      <w:tr>
        <w:trPr>
          <w:trHeight w:val="270"/>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regularly review either reporting segment’s total assets or operating expenses. This is because in general, the Company’s long-lived assets, facilities, and equipment are shared by each reporting segment.</w:t>
      </w:r>
    </w:p>
    <w:p>
      <w:pPr>
        <w:spacing w:after="0" w:line="50"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January 2025, the Preferred Stock Exchange was consummated and the Company filed the Certificate of Designation with the Secretary of State of the State of Delaware, which became effective upon filing. At the Closing, the Company issued 50,951,250 shares of Preferred Stock to the Trust. In June 2025, the Trust converted 5,000,000 shares of the Preferred Stock to common stock on a one-for-one basis in accordance with the Certificate of Designation. See Note 12 for additional information on the Preferred Stock Exchange.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December 31, 2025, there are no amounts due to or from related parties.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Collared Forward Transaction</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Pursuant to the Equity Distribution Agreement, the Company entered into collared forward transactions and sold an aggregate of 7,451,200 shares of common stock for minimum expected proceeds of approximately $474,000 and maximum expected proceeds of approximately $642,000. The minimum and maximum expected proceeds are based on maturity dates scheduled to occur in April 2028. Actual proceeds will depend on, among other things, if the Company elects to settle the collared forward transactions prior to the scheduled maturity dates, as well as the cap price and floor price set forth in each collared forward transaction.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Mynaric Acquisition</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On April 14, 2026, the Company completed the acquisition of 100% of the issued and outstanding ordinary shares of Mynaric AG (“Mynaric”), a stock corporation incorporated under the laws of Germany, thereby obtaining control. The acquisition strengthens the Company’s position as a leading provider of launch services, spacecraft manufacturing, and satellite components by adding high-performing laser optical communications technology. The acquisition addresses a critical supply chain constraint for satellite constellation operators and establishes the Company's first European footprint.</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paid an aggregate consideration value of $155,300 at the closing of the acquisition, consisting of a nominal cash payment and 2,277,002 shares of the Company’s Common Stock. The consideration was primarily based on a base purchase price of $75,000 plus additional investments made by the sellers in Mynaric prior to closing. Subject to post-closing purchase price adjustments, the sellers are no longer eligible for further earnout payments.</w:t>
      </w:r>
    </w:p>
    <w:p>
      <w:pPr>
        <w:spacing w:after="0" w:line="72"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determining the fair values of assets acquired and liabilities assumed and expects to complete the initial accounting within one year from the acquisition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Motiv</w:t>
      </w:r>
    </w:p>
    <w:p>
      <w:pPr>
        <w:spacing w:after="0" w:line="11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On May 6, 2026, the Company entered into an Equity Purchase Agreement (together with the ancillary documents thereto, the “Motiv Purchase Agreement”) by and among the Company, Motiv Space Systems, Inc., a Delaware corporation (“Motiv”) and certain other equityholders of Motiv. The Motiv Purchase Agreement provides for, among other things, the Company’s purchase and acquisition of all of the issued and outstanding equity interests of Motiv.The Motiv acquisition addresses a critical gap in the Company’s vertical integration strategy by bringing in-house costly and supply-constrained satellite components like solar array drive assemblies (SADAs) and other precision mechanisms and add Mars-proven robotics capability for advanced planetary and national security missions.</w:t>
      </w:r>
    </w:p>
    <w:p>
      <w:pPr>
        <w:spacing w:after="0" w:line="7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Pursuant to the terms of the Motiv Purchase Agreement, all of the issued and outstanding equity interests of Motiv will be purchased in exchange for aggregate consideration of $40,000 in cash, subject to adjustments at closing, plus up to $20,000 in potential additional post-closing earnout payments in common stock.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You should read this discussion and analysis in conjunction with the unaudited condensed consolidated financial statements and notes thereto included elsewhere in this Quarterly Report on Form 10-Q. For additional context with which to understand our financial condition and results of operations, see the audited consolidated financial statements and accompanying notes contained therein as of December 31, 2025 and 2024 and related notes in the Company’s Annual Report on Form 10-K for the year ended December 31, 2025 as filed with the SEC on February 26, 2026 (our “Form 10-K”). Certain amounts may not foot due to rounding. Certain information in this discussion and analysis or set forth elsewhere in this Quarterly Report on Form 10-Q contains forward-looking statements that involve numerous risks and uncertainties, including, but not limited to, those described under the sections entitled “Cautionary Note Regarding Forward-Looking Statements” and Part II, Item 1A. “Risk Factors” included in this Quarterly Report on Form 10-Q and under the heading “Risk Factors” in our Form 10-K. We assume no obligation to update any of these forward-looking statements. Actual results may differ materially from those contained in any forward-looking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spacing w:after="0" w:line="68"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While our business has historically been centered on the manufacture of small-class launch vehicles and the related sale of launch services, we are currently innovating in the areas of medium-class launch vehicle and launch services, space systems design and manufacturing, on-orbit management solutions and space data applications. Each of these initiatives addresses a critical component of the end-to-end solution and our value proposition for the space economy:</w:t>
      </w:r>
    </w:p>
    <w:p>
      <w:pPr>
        <w:spacing w:after="0" w:line="72" w:lineRule="exact"/>
        <w:rPr>
          <w:sz w:val="20"/>
          <w:szCs w:val="20"/>
          <w:color w:val="auto"/>
        </w:rPr>
      </w:pPr>
    </w:p>
    <w:p>
      <w:pPr>
        <w:ind w:left="820" w:right="74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Services is the design, manufacture, and launch of orbital rockets to deploy payloads to various Earth orbits and interplanetary destinations.</w:t>
      </w:r>
    </w:p>
    <w:p>
      <w:pPr>
        <w:spacing w:after="0" w:line="53"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Systems is the design and manufacture of components and spacecraft program management services, space data applications, mission operations and optical systems.</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81 successful missions through March 31, 2026. In 2025, Electron was the second most frequently launched orbital rocket.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spacing w:after="0" w:line="8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 March 2021, we announced plans to develop our reusable-ready medium-capacity Neutron launch vehicle that will increase the payload capacity of our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optical systems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Advanced Solutions, Incorporated and GEOST LLC (“GEOST”).</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mission operations and optical systems to provide customers with streamlined access to orbit with Rocket Lab as a single mission partner.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Neutron Update</w:t>
      </w:r>
    </w:p>
    <w:p>
      <w:pPr>
        <w:spacing w:after="0" w:line="12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continue to make significant progress in the development of the Neutron launch vehicle. Neutron qualification testing of flight hardware from large structures through to component level systems is ongoing. During Q1, we achieved significant milestones across the Neutron program with ongoing integration and readiness of first-flight hardware, continued progress on Archimedes engine qualification, and advancement of the second stage and reusable fairing systems, positioning the medium-lift launch vehicle on track for its debut launch later this year. However, risk and uncertainty remains in the complex development cycle of a new launch vehicle which could impact our current best estimate of a targeted timeline for first launch.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timely develop and successfully deploy Neutron launch vehicle</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future results will depend on the success of the development and commercial acceptance of our Neutron medium-capacity launch vehicle. While we have made significant progress across Neutron’s structures and infrastructure to date, including engine testing and initial production execution, the commercial development of a new launch vehicle is inherently time consuming and involves numerous risks throughout the engineering and manufacturing development cycle, hardware and systems testing, and infrastructure readiness, any of which could create further delays in reaching the initial launch and future launches of the completed vehicle. In addition, even if we succeed in developing Neutron to a successful initial launch, we could be unsuccessful in developing the ability to produce these launch vehicles in quantities and with the necessary quality manufacturing system that ensures each vehicle and engines perform as required or meet our expectations for future launch cadence. Any delay in the production of the Neutron launch vehicle or in our ability to produce these launch vehicles at our expected rate of production and with a reliable quality management system could have a material impact on customer acceptance as well as our future revenue, financial condition and results of operations. Additional delays or setbacks in Neutron development may require more research, development and capital expenditures than we currently anticipate, which could adversely affect our liquidity and capital resources in future periods.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sell additional launch services, space systems service and spacecraft components to new and existing customers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results will be impacted by our ability to sell our launch services, space systems services, and spacecraft components to new and existing customers. We have successfully launched Electron 81 times delivering over 200 spacecraft to orbit, including suborbital launches, through March 31, 2026. We have flight hardware and spacecraft that have flown on over 1,800 missions, including legacy missions enabled by Sinclair Interplanetary (acquired April 2020), Advanced Solutions, Incorporated (acquired October 2021), Planetary Systems Corporation (acquired November 2021), SolAero Technologies Corp. (acquired January 2022) and GEOST (acquired August 2025). Our growth opportunity is dependent on our ability to expand our addressable launch services market with larger volumetric and higher mass payload capabilities of our in-development medium-capacity Neutron launch vehicle, which will address large commercial and government constellation launch opportunities. Our growth opportunity is also dependent on our ability to win spacecraft constellation missions and expand our portfolio of strategic spacecraft components. Our ability to sell additional products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improve profit margins and scale our business</w:t>
      </w:r>
    </w:p>
    <w:p>
      <w:pPr>
        <w:spacing w:after="0" w:line="121"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We intend to continue to invest in initiatives to improve our operating leverage and significantly ramp production. We believe continued reduction in costs and an increase in production volumes will enable the cost of launch vehicles to decline and improve our gross margins.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expenditures and private enterprise investment into the space economy</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Government expenditures and private enterprise investment has fueled the growth in our target markets. We expect the continued availability of government expenditures and private investment for our customers to help fund purchases of our products and services will remain. This is an important factor in our company’s growth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Select Financial Data</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that assist us in evaluating our business, measuring our performance, identifying trends and making strategic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Vehicle Build-Rate and Launch Cadence</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built approximately 14 Electron launch vehicles in 2024 and approximately 24 Electron launch vehicles in 2025. We built approximately five Electron launch vehicles during the three months ended March 31, 2026. We launched 16 Electron vehicles in 2024 and 21 Electron vehicles in 2025. We launched six Electron vehicles during the three months ended March 31, 2026. Growth rates between launches and total launch service revenue are not perfectly correlated because our total revenue is affected by other variables, such as the revenue per launch, which can vary considerably based on factors such as unique orbit and insertion requirements, payload handling needs, launch location, time sensitivity of mission completion, method of revenue recognition and other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11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generated $200.3 million and $122.6 million in revenue for the three months ended March 31, 2026 and 2025, respectively, representing a year-on-year increase in revenue of approximately 63%. This year-on-year increase resulted from space systems revenue growth of $49.7 million, primarily driven by satellite manufacturing, and an increase in launch revenue of $28.1 million. Launch revenue growth was due to a higher launch cadence with six Electron launch missions completed for the three months ended March 31, 2026, versus five launch missions completed for the three months ended March 31, 2025, revenue recognized on over-time Hypersonic Accelerator Suborbital Test Electron (“HASTE”) launch missions, an increase in other launch revenue, which includes study revenue and a higher revenue per launch on point-in-time Electron launch missions.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Per Launch</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Revenue per launch represents the average transaction price attributable to launch contract performance obligations during the period in which the launch occurs, regardless of whether the revenue is recognized using the point-in-time or over-time method of revenue recognition. This metric provides insight into general competitiveness and price sensitivity in the marketplace. Revenue per launch can vary considerably, based on factors such as unique orbit and insertion requirements, payload handling needs, launch location, time sensitivity of mission completion and other factors, and as such may not provide absolute clarity with regards to pricing and competitive dynamics in the marketplace. Cost per launch is calculated by taking actual costs of the launch vehicles that occur in the period, regardless of whether the costs were recognized using the point-in-time or over-time method and all period costs in the period of launch.</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11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revenue per launch was $9.3 million and $7.1 million, respectively. Meanwhile, cost per launch for the three months ended March 31, 2026 and 2025 was $5.4 million and $5.7 million, respectively. The increase in revenue per launch reflects changes in customer mix and mission complexity during the period in which the launches occurred.</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Backlog represents future revenues that we would recognize in connection with the completion of all contracts and purchase orders that have been entered into by our customers but have not yet been fulfilled, excluding any customer options for future products or services that have not yet been exercised. Contracts for launch services and spacecraft builds typically include termination rights that may be exercised by customers upon advanced notice and payment of a specified termination fee. Backlog increased from $1,847.3 million as of December 31, 2025 to $2,219.8 million as of March 31, 2026, of which $1,298.3 million is related to space systems and $921.4 million is related to launch services. The increase was primarily a result of continued bookings during the period, partially offset by recognizing revenue on contracts during the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revenues are derived from a combination of long-term fixed price contracts for launch services and spacecraft builds, and purchase order based spacecraft components sales. Revenues from long-term contracts are recognized using either the “point-in-time” or “over-time” method of revenue recognition. Point-in-time revenue recognition results in cash payments being initially accrued to the balance sheet as deferred revenue as contractual milestones are accomplished and then recognized as revenue once the final contractual obligation is completed. Over-time revenue recognition is generally based on an input measure of progress based on costs incurred compared to estimated total costs at completion. Each project has a contractual revenue value and an estimated cost. The over-time revenue is recognized based on the percentage of the total project cost that has been realized.</w:t>
      </w:r>
    </w:p>
    <w:p>
      <w:pPr>
        <w:spacing w:after="0" w:line="7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Estimating future revenues and associated costs and profit is a process requiring a high degree of management judgment, including management’s assumptions regarding our future operational performance as well as general economic conditions.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the point-in-time or over-time contractual obligations are achieved. In the event cost estimates indicate a loss on a contract, the total amount of such loss is recorded in the period in which the loss is first estimated.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We expect our cost of revenues to increase in absolute dollars in future periods as we sell more launch services and space systems. As we grow into our current capacity and execute on cost-reduction initiatives, we expect our cost of revenues as a percentage of revenue to decrease over time.</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Because direct labor costs and manufacturing overhead comprise a significant portion of cost of revenues, increasing our production rate resulting in greater absorption of these costs is our most critical cost reduction initiative. Increasing our production rate is a cross-functional effort involving sales and business development, manufacturing, engineering, supply chain and finance.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selling,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Net</w:t>
      </w:r>
    </w:p>
    <w:p>
      <w:pPr>
        <w:spacing w:after="0" w:line="119" w:lineRule="exact"/>
        <w:rPr>
          <w:sz w:val="20"/>
          <w:szCs w:val="20"/>
          <w:color w:val="auto"/>
        </w:rPr>
      </w:pPr>
    </w:p>
    <w:p>
      <w:pPr>
        <w:jc w:val="both"/>
        <w:ind w:right="220" w:firstLine="486"/>
        <w:spacing w:after="0" w:line="272" w:lineRule="auto"/>
        <w:rPr>
          <w:sz w:val="20"/>
          <w:szCs w:val="20"/>
          <w:color w:val="auto"/>
        </w:rPr>
      </w:pPr>
      <w:r>
        <w:rPr>
          <w:rFonts w:ascii="Times New Roman" w:cs="Times New Roman" w:eastAsia="Times New Roman" w:hAnsi="Times New Roman"/>
          <w:sz w:val="17"/>
          <w:szCs w:val="17"/>
          <w:color w:val="auto"/>
        </w:rPr>
        <w:t>Research and development expenses consist primarily of labor, prototype, professional services, materials, facilities and depreciation expense. We intend to continue to make significant investments in developing new products and enhancing existing products, including but not limited to our medium capacity Neutron launch vehicle and spacecraft features and capabilities, as well as expanding our portfolio of spacecraft components and subsystems.</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will be variable relative to the number of products that are in development, validation or testing. However, we expect it to decline as a percentage of total revenue over time.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expenses for our sales, marketing, supply chain, finance, legal, human resources and administrative personnel, as well as the costs of customer service, information technology, risk management and related insurance, travel, allocated overhead, other marketing, communications, administrative and transaction expenses. We also expect to further invest in our corporate infrastructure and incur additional expenses associated with operating as a public company, including increased legal and accounting costs, investor relations and compliance costs. As a result, we expect that selling, general and administrative expenses will increase in absolute dollars in future periods but decline as a percentage of total revenue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on our loan agreements, amortization of debt issuance costs and finance lease interest.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consists primarily of interest income on our cash and cash equivalents, marketable securities and customer financing.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Foreign Exchange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Gain (loss) on foreign exchange relates to currency fluctuations that generate foreign exchange gains or losses on invoices denominated in currencies other than the U.S. Dollar.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changes in the fair value of contingent consideration, loss on extinguishment of debt, gain or loss on disposal of assets and accretion of marketable securities purchased at a discount.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and comprehensive loss information and data as a percentage of revenue for the three months ended March 31, 2026 and 2025 (in thousands, except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36"/>
        </w:trPr>
        <w:tc>
          <w:tcPr>
            <w:tcW w:w="4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bottom w:val="single" w:sz="8" w:color="auto"/>
            </w:tcBorders>
          </w:tcPr>
          <w:p>
            <w:pPr>
              <w:spacing w:after="0"/>
              <w:rPr>
                <w:sz w:val="20"/>
                <w:szCs w:val="20"/>
                <w:color w:val="auto"/>
              </w:rPr>
            </w:pPr>
          </w:p>
        </w:tc>
      </w:tr>
      <w:tr>
        <w:trPr>
          <w:trHeight w:val="237"/>
        </w:trPr>
        <w:tc>
          <w:tcPr>
            <w:tcW w:w="48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200,348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176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76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176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39,326</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6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132,462</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94,435</w:t>
            </w:r>
          </w:p>
        </w:tc>
        <w:tc>
          <w:tcPr>
            <w:tcW w:w="176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5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7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76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(61,429)</w:t>
            </w:r>
          </w:p>
        </w:tc>
        <w:tc>
          <w:tcPr>
            <w:tcW w:w="15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(45,022)</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15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770"/>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4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8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6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Revenue increased by $77.8 million, or 63%, for the three months ended March 31, 2026 as compared to the three months ended March 31, 2025. Space systems revenue was $136.7 million for the three months ended March 31, 2026, an increase of $49.7 million, or 57%, primarily due to spacecraft manufacturing growth and acquisitions. Launch services revenue was $63.7 million for the three months ended March 31, 2026, an increase of $28.1 million, or 79%, primarily due to a higher launch cadence with six Electron launch missions completed for the three months ended March 31, 2026, versus five launch missions completed in the three months ended March 31, 2025, higher revenue per launch, revenue recognized on over-time HASTE launch missions, and an increase in other launch revenue, which includes study revenue.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Cost of Revenues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124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Cost of revenues increased by $36.5 million, or 42%, for the three months ended March 31, 2026 as compared to the three months ended March 31, 2025. Space systems cost of revenue was $88.4 million for the three months ended March 31, 2026, an increase of $29.5 million, or 50%, primarily due to spacecraft manufacturing growth and acquisitions. Launch services cost of revenues was $35.4 million for the three months ended March 31, 2026, an increase of $7.1 million, or 25%, primarily due to a higher launch cadence.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jc w:val="right"/>
              <w:ind w:right="2640"/>
              <w:spacing w:after="0"/>
              <w:rPr>
                <w:sz w:val="20"/>
                <w:szCs w:val="20"/>
                <w:color w:val="auto"/>
              </w:rPr>
            </w:pPr>
            <w:r>
              <w:rPr>
                <w:rFonts w:ascii="Times New Roman" w:cs="Times New Roman" w:eastAsia="Times New Roman" w:hAnsi="Times New Roman"/>
                <w:sz w:val="18"/>
                <w:szCs w:val="18"/>
                <w:i w:val="1"/>
                <w:iCs w:val="1"/>
                <w:color w:val="auto"/>
                <w:w w:val="99"/>
              </w:rPr>
              <w:t>Research and Development, Net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32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gridSpan w:val="3"/>
            <w:shd w:val="clear" w:color="auto" w:fill="CCEEFF"/>
          </w:tcPr>
          <w:p>
            <w:pPr>
              <w:jc w:val="right"/>
              <w:ind w:right="264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$25.4 million, or 46%, for the three months ended March 31, 2026 as compared to the three months ended March 31, 2025, primarily due to Neutron development progress, increased staff and staff-related expenses as a result of hiring and prototype spend focused on expanding our spacecraft and spacecraft components product portfolio.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6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6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firstLine="486"/>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expenses increased by $12.6 million, or 32%, for the three months ended March 31, 2026 as compared to the three months ended March 31, 2025, primarily due to cancellations of RSUs resulting in a one-time stock-based compensation expense of $11.2 million, increased staff and staff-related expenses to support revenue growth and increased transaction expenses related to managing an active acquisition pipeline.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0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12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decreased by $5.5 million, or 81%, for the three months ended March 31, 2026 as compared to the three months ended March 31, 2025, primarily due to conversions of the Convertible Senior Notes and the extinguishment of the Trinity Loan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Interest Income</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2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7"/>
        </w:trPr>
        <w:tc>
          <w:tcPr>
            <w:tcW w:w="11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Interest income increased by $5.9 million, or 141%, for the three months ended March 31, 2026 as compared to the three months ended March 31, 2025, primarily due to higher cash and cash equivalents balances held in interest bearing accounts.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Gain (Loss) on Foreign Exchange</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46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40" w:type="dxa"/>
            <w:vAlign w:val="bottom"/>
            <w:gridSpan w:val="3"/>
            <w:vMerge w:val="continue"/>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Gain on foreign exchange increased by $0.3 million, or 216%, for the three months ended March 31, 2026 as compared to the three months ended March 31, 2025, primarily due to fluctuations on the foreign exchange rates of the New Zealand Dollar and Canadian Dollar as compared to the U.S. Dollar.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10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40" w:type="dxa"/>
            <w:vAlign w:val="bottom"/>
            <w:gridSpan w:val="3"/>
            <w:vMerge w:val="continue"/>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Other income decreased by $0.4 million, or 74%, for the three months ended March 31, 2026 as compared to the three months ended March 31, 2025, primarily due to an increase in changes to fair value of contingent consideration for the three months ended March 31, 2026.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
          </w:tcPr>
          <w:p>
            <w:pPr>
              <w:jc w:val="right"/>
              <w:ind w:right="2320"/>
              <w:spacing w:after="0"/>
              <w:rPr>
                <w:sz w:val="20"/>
                <w:szCs w:val="20"/>
                <w:color w:val="auto"/>
              </w:rPr>
            </w:pPr>
            <w:r>
              <w:rPr>
                <w:rFonts w:ascii="Times New Roman" w:cs="Times New Roman" w:eastAsia="Times New Roman" w:hAnsi="Times New Roman"/>
                <w:sz w:val="18"/>
                <w:szCs w:val="18"/>
                <w:i w:val="1"/>
                <w:iCs w:val="1"/>
                <w:color w:val="auto"/>
                <w:w w:val="98"/>
              </w:rPr>
              <w:t>Benefit (Provision) for Income Taxes</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66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80" w:type="dxa"/>
            <w:vAlign w:val="bottom"/>
            <w:gridSpan w:val="3"/>
            <w:vMerge w:val="restart"/>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980" w:type="dxa"/>
            <w:vAlign w:val="bottom"/>
            <w:gridSpan w:val="3"/>
            <w:vMerge w:val="continue"/>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Benefit for income taxes increased by $1.0 million for the three months ended March 31, 2026 as compared to the three months ended March 31, 2025. The effective tax rate was 3.8% for the three months ended March 31, 2026, compared to 1.3% for the three months ended March 31, 2025. The effective tax rate differs from the federal statutory rate due primarily to a full valuation allowance against U.S. deferred tax assets, as well as the impact of discrete items that may occur in any given year but which are not consistent from year-to-year.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Since inception, we have funded our operations with proceeds from sales of our capital stock, convertible senior notes, term note debt, equipment financing, research and development grant proceeds, and cash flows from the sale of our products and services. As of March 31, 2026, we had $1.2 billion of cash and cash equivalents and $271.3 million of marketable securities. Our primary requirements for liquidity and capital are for investment in new products and technologies, the expansion of existing manufacturing facilities, working capital, debt service, acquisitions of complementary businesses, products or technologies and general corporate needs. Historically, these cash requirements have been met through the net proceeds we received through private sales of equity securities and convertible senior notes, borrowings under our credit and equipment financing facilities, net proceeds received in our business combination, net proceeds received from our ATM Equity Offerings and payments received from customers.</w:t>
      </w:r>
    </w:p>
    <w:p>
      <w:pPr>
        <w:spacing w:after="0" w:line="8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marketable securities and payments from customers will be sufficient to meet our working capital and capital expenditure needs for at least the next twelve months, although we may choose to take advantage of opportunistic capital raising or refinancing transactions at any time primarily for the purposes noted above. We will continue to invest in increasing production and expanding our product offerings through acquisitions.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our total minimum lease payments was $152.3 million, of which $18.7 million is due in the following twelve months. For details regarding our indebtedness and lease obligations as of March 31, 2026, refer to Note 11 and Note 14, respectively, to our condensed consolidated financial statements included elsewhere in this Quarterly Report on Form 10-Q.</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capital expenditures for the three months ended March 31, 2026 were $27.1 million. Our future capital requirements will depend on many factors, including our launch cadence, traction in the market with our space systems offerings, the expansion of sales and marketing activities, the timing and extent of spending to support product development efforts, the introduction of new and enhanced products, the continuing market adoption of our products, the timing and extent of additional capital expenditures to invest in existing and new office spaces and the number of acquisitions of complementary businesses, products or technologies we pursue, if any. We may be required to seek additional equity or debt financing or we may choose to take advantage of opportunistic capital raising or financing transactions primarily for the purposes noted above.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Additionally, we expect our capital and operating expenditures will increase significantly in connection with ongoing activities as we:</w:t>
      </w:r>
    </w:p>
    <w:p>
      <w:pPr>
        <w:spacing w:after="0" w:line="117" w:lineRule="exact"/>
        <w:rPr>
          <w:sz w:val="20"/>
          <w:szCs w:val="20"/>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marketing, advertising, sales and distribution infrastructure for our existing and future products and services;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new products and enhancements to existing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performance;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there was $37.6 million outstanding under our 4.250% Convertible Senior Notes due 2029 (the “Convertible Notes”), before unamortized discount and debt issuance costs of $0.7 million. For details regarding our outstanding loan agreements, refer to Note 11 of our condensed consolidated financial statements included elsewhere in this Quarterly Report on Form 10-Q.</w:t>
      </w:r>
    </w:p>
    <w:p>
      <w:pPr>
        <w:spacing w:after="0" w:line="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Convertible Notes, on February 1, 2024 and February 2, 2024, we entered into privately negotiated capped call transactions (the “Capped Call Transactions”) with certain financial institutions. These transactions are designed to offset potential dilution from the Convertible Notes and provide a non-dilutive source of liquidity under certain conditions. The Capped Call Transactions have a strike price of $5.1255 per share with a cap price of $8.04 per share, covering approximately 69.3 million shares of common stock.</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Capped Call Transactions are scheduled to expire in tranches over a series of dates, beginning on December 1, 2028, and ending on January 30, 2029. If our stock price equals or exceeds the strike price on any given expiration date, we would be entitled to receive payments for the corresponding tranche without issuing additional shares, up to a maximum aggregate payment of approximately $201.9 million across all tranches on the settlement date. However, if the stock price is below the cap price (but is above the strike price) on any expiration date, the payment received for that tranche would be reduced, and the Company may receive less than the maximum potential payment.</w:t>
      </w:r>
    </w:p>
    <w:p>
      <w:pPr>
        <w:spacing w:after="0" w:line="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If the Capped Call Transactions are unwound prior to the maturity dates, the settlement terms would depend on the prevailing market conditions, including our stock price at the time of the unwind, the time remaining until maturity on the date of the unwind, and the expiration schedule of the tranches.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(54,225)</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(28,601)</w:t>
            </w: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115,503</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32,949</w:t>
            </w:r>
          </w:p>
        </w:tc>
      </w:tr>
      <w:tr>
        <w:trPr>
          <w:trHeight w:val="27"/>
        </w:trPr>
        <w:tc>
          <w:tcPr>
            <w:tcW w:w="7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of $50.3 million consisted of $45.0 million in net loss, $46.5 million in non-cash activities and $51.8 million in cash used in operating assets and liabilities. Included in the non-cash activities are $28.1 million in stock-based compensation expense and $15.0 million in depreciation and amortization. Included in the cash used in operating assets and liabilities are $35.7 million in accounts receivable, $26.1 million in other non-current assets, $24.6 million in inventories, $13.4 million in contract assets and $8.2 million in trade payables, partially offset by cash provided by operating assets and liabilities of $45.8 million in contract liabilities, $10.8 million in accrued expenses and $4.1 million in prepaids and other current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of $35.7 million consisted of $27.1 million of capital equipment and infrastructure investments, $8.0 million of cash paid for business combinations and net purchases and maturities of marketable securities of $1.3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financing activities of $463.3 million consisted of $445.6 million of net proceeds from the issuance of common stock under the ATM Equity Offerings and $12.5 million of net restricted stock units tax withholding.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in our audited financial statements included in our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periods presented, we did not have,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Information</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on May 23, 2025, the Company, Rocket Lab USA and U.S. Bank Trust Company, National Association (the “Trustee”) entered a first supplemental indenture (the “Supplemental Indenture”) to the indenture, dated as of February 6, 2024, between Rocket Lab USA and the Trustee (the “Indenture”), governing the Convertible Notes in order to (i) provide for subsequent conversions of the Convertible Notes in the manner set forth in Section 5.09 of the Indenture, (ii) provide for subsequent adjustments to the Conversion Rate pursuant to Section 5.05(A) of the Indenture in a manner consistent with Section 5.09 of the Indenture, (iii) provide for the full and unconditional guarantee of the obligations of Rocket Lab USA under the Convertible Notes and the Indenture and (iv) make such other changes as are appropriate to preserve the economic interests of the holders and to give effect to the provisions of Section 5.09(A) of the Indenture.</w:t>
      </w:r>
    </w:p>
    <w:p>
      <w:pPr>
        <w:spacing w:after="0" w:line="8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As of March 31, 2026, there was $37.6 million aggregate principal amount of issued and outstanding convertible senior notes of Rocket Lab USA that are fully and unconditionally guaranteed by the Company. Accordingly, pursuant to Rule 3-10 of Regulation S-X, separate condensed consolidated financial statements of Rocket Lab USA have not been presented. As permitted under Rule 13-01(a)(4)(vi) of Regulation S-X, we have excluded summarized financial information for Rocket Lab USA because the assets, liabilities and results of operations of Rocket Lab USA are not materially different than the corresponding amounts in the Company’s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and inflation. In addition, we are subject to broader market risk that is created by the global market disruptions and uncertainties resulting from macroeconomic challenges, geopolitical events, tariffs, trade and other international disputes.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either its local currency or the U.S. dollar. The assets and liabilities of each of our subsidiaries are translated into U.S. dollars at exchange rates in effect at each balance sheet date and operations accounts are translated using the average exchange rate for the relevant period. Increases or decreases in the relative value of the U.S. dollar to other currencies may positively or negatively affect revenue and other operating results as expressed in U.S. dollars. Foreign currency translation adjustments are accounted for as a component of accumulated other comprehensive income (loss) within stockholders’ equity. Gains or losses due to transactions in foreign currencies are reflected in the condensed consolidated statements of operations and comprehensive loss within Gain (loss) on foreign exchange. Materially all of our revenues are denominated in U.S. dollars and we have not engaged in the hedging of foreign currency risk to date, although we may choose to do so in the future. As such, a 10% or greater move in exchange rates versus the U.S. dollar could have a material impact on our financial results or position.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of $1.2 billion, comprised primarily of operating accounts and money market instruments and $271.3 million invested in marketable securities, comprised of commercial paper, corporate debt securities, bank certificates of deposit, U.S. Treasury bills and notes and asset backed securities. We do not enter into investments for trading or speculative purposes and have not used any derivative financial instruments to manage our interest rate risk exposure.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1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it could diminish our margin thereby limiting our profits, especially if we are not able to fully offset such higher costs. Our inability or failure to do so could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w:t>
      </w:r>
    </w:p>
    <w:p>
      <w:pPr>
        <w:spacing w:after="0" w:line="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Quarterly Report on Form 10-Q. Based upon such evaluation, our principal executive officer and principal financial officer have concluded that our disclosure controls and procedures were effective as of March 31,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right="640" w:firstLine="486"/>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there were no changes in the our internal control over financial reporting (“ICFR”) identified in connection with the evaluation required by paragraph (d) of Rules 13a-15 or 15d-15 of the Exchange Act that has materially affected, or is reasonably likely to materially affect, the Company’s ICFR.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 Nevertheless, the Company and certain of its officers had been named as defendants in a putative securities class action filed in February 2025 in the United States District Court for the Central District of California. The case was purportedly filed on behalf of persons who claim to have suffered damages as a result of alleged misstatements concerning the progress of the Company’s Neutron rocket development. The Company filed a Motion to Dismiss the Complaint in August 2025. While the Court granted the Motion to Dismiss in November 2025, the Plaintiff subsequently filed an amended Complaint, and in response the Company again filed a new Motion to Dismiss this Complaint in January 2026. On April 16, 2026, our Motion to Dismiss the securities class action was granted with prejudice. Plaintiffs have 30 days to appeal the dismissal to the Ninth Circuit Court of Appeals.</w:t>
      </w:r>
    </w:p>
    <w:p>
      <w:pPr>
        <w:spacing w:after="0" w:line="80"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Relying on many of the same allegations as the securities class action, in April 2025, two shareholders filed putative shareholder derivative actions on behalf of the Company against its directors and certain of its officers in the United States District Court for the Central District of California. The two consolidated derivative actions remain stayed pending final resolution of the motion to dismiss in the securities case. If the securities plaintiffs do not appeal their dismissal, we anticipate plaintiffs will voluntarily dismiss their case, since the claimed damages are largely predicated on the company's exposure in the securities action.</w:t>
      </w:r>
    </w:p>
    <w:p>
      <w:pPr>
        <w:spacing w:after="0" w:line="75"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defend itself against these claims and is currently unable to predict the timing, outcome or consequences of these actions, or estimate any probable range of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I, Item 1A of our Annual Report on Form 10-K, as filed with the SEC on February 26,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Sales of Unregistered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certain executive officers and directors of the Company (each, a “Plan Participant”) entered into Rule 10b5-1 trading plan (a “Rule 10b5-1 Trading Plan”) to sell shares of the Company’s common stock subject to any applicable volume limitations.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each Plan Participant’s Rule 10b5-1 Trading Plan.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 Date</w:t>
            </w:r>
          </w:p>
        </w:tc>
        <w:tc>
          <w:tcPr>
            <w:tcW w:w="2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 Shares That May Be Sold</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Plan Expiration Date</w:t>
            </w:r>
          </w:p>
        </w:tc>
        <w:tc>
          <w:tcPr>
            <w:tcW w:w="0" w:type="dxa"/>
            <w:vAlign w:val="bottom"/>
          </w:tcPr>
          <w:p>
            <w:pPr>
              <w:spacing w:after="0"/>
              <w:rPr>
                <w:sz w:val="1"/>
                <w:szCs w:val="1"/>
                <w:color w:val="auto"/>
              </w:rPr>
            </w:pPr>
          </w:p>
        </w:tc>
      </w:tr>
      <w:tr>
        <w:trPr>
          <w:trHeight w:val="214"/>
        </w:trPr>
        <w:tc>
          <w:tcPr>
            <w:tcW w:w="1500" w:type="dxa"/>
            <w:vAlign w:val="bottom"/>
            <w:gridSpan w:val="2"/>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12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Under the Plan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Sir Peter Beck</w:t>
            </w:r>
          </w:p>
        </w:tc>
        <w:tc>
          <w:tcPr>
            <w:tcW w:w="1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27, 2026</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5,000,000</w:t>
            </w: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8, 2026</w:t>
            </w:r>
          </w:p>
        </w:tc>
        <w:tc>
          <w:tcPr>
            <w:tcW w:w="0" w:type="dxa"/>
            <w:vAlign w:val="bottom"/>
          </w:tcPr>
          <w:p>
            <w:pPr>
              <w:spacing w:after="0"/>
              <w:rPr>
                <w:sz w:val="1"/>
                <w:szCs w:val="1"/>
                <w:color w:val="auto"/>
              </w:rPr>
            </w:pPr>
          </w:p>
        </w:tc>
      </w:tr>
      <w:tr>
        <w:trPr>
          <w:trHeight w:val="138"/>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Adam Spice</w:t>
            </w:r>
          </w:p>
        </w:tc>
        <w:tc>
          <w:tcPr>
            <w:tcW w:w="2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March 27, 2026</w:t>
            </w:r>
          </w:p>
        </w:tc>
        <w:tc>
          <w:tcPr>
            <w:tcW w:w="21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rPr>
              <w:t>840,942</w:t>
            </w:r>
          </w:p>
        </w:tc>
        <w:tc>
          <w:tcPr>
            <w:tcW w:w="64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June 30, 2027</w:t>
            </w:r>
          </w:p>
        </w:tc>
        <w:tc>
          <w:tcPr>
            <w:tcW w:w="0" w:type="dxa"/>
            <w:vAlign w:val="bottom"/>
          </w:tcPr>
          <w:p>
            <w:pPr>
              <w:spacing w:after="0"/>
              <w:rPr>
                <w:sz w:val="1"/>
                <w:szCs w:val="1"/>
                <w:color w:val="auto"/>
              </w:rPr>
            </w:pPr>
          </w:p>
        </w:tc>
      </w:tr>
      <w:tr>
        <w:trPr>
          <w:trHeight w:val="73"/>
        </w:trPr>
        <w:tc>
          <w:tcPr>
            <w:tcW w:w="1500" w:type="dxa"/>
            <w:vAlign w:val="bottom"/>
            <w:gridSpan w:val="2"/>
            <w:vMerge w:val="continue"/>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right="40" w:firstLine="8"/>
        <w:spacing w:after="0" w:line="260"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to Mr. Spice upon the exercise of approximately 33% of the vested stock options held by Mr. Spice as of the date of the Rule 10b5-1 Trading Plan, all of which are scheduled to expire in August 2028.</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5"/>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34"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9"/>
        </w:trPr>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3"/>
        </w:trPr>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1"/>
                <w:szCs w:val="21"/>
                <w:color w:val="auto"/>
              </w:rPr>
            </w:pPr>
          </w:p>
        </w:tc>
        <w:tc>
          <w:tcPr>
            <w:tcW w:w="9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Amendment to Amended and Restated Employment Agreement, dated March 30, 2026, by and between Rocket Lab Limited and Sir</w:t>
            </w:r>
          </w:p>
        </w:tc>
        <w:tc>
          <w:tcPr>
            <w:tcW w:w="22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Peter Beck.</w:t>
            </w:r>
          </w:p>
        </w:tc>
        <w:tc>
          <w:tcPr>
            <w:tcW w:w="8940" w:type="dxa"/>
            <w:vAlign w:val="bottom"/>
            <w:gridSpan w:val="7"/>
          </w:tcPr>
          <w:p>
            <w:pPr>
              <w:spacing w:after="0"/>
              <w:rPr>
                <w:sz w:val="17"/>
                <w:szCs w:val="17"/>
                <w:color w:val="auto"/>
              </w:rPr>
            </w:pPr>
          </w:p>
        </w:tc>
      </w:tr>
      <w:tr>
        <w:trPr>
          <w:trHeight w:val="304"/>
        </w:trPr>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Restricted Stock Unit Cancellation Agreement, dated March 30, 2026, by and between Rocket Lab Corporation and Sir Peter Beck.</w:t>
            </w:r>
          </w:p>
        </w:tc>
        <w:tc>
          <w:tcPr>
            <w:tcW w:w="300" w:type="dxa"/>
            <w:vAlign w:val="bottom"/>
            <w:gridSpan w:val="3"/>
          </w:tcPr>
          <w:p>
            <w:pPr>
              <w:spacing w:after="0"/>
              <w:rPr>
                <w:sz w:val="24"/>
                <w:szCs w:val="24"/>
                <w:color w:val="auto"/>
              </w:rPr>
            </w:pPr>
          </w:p>
        </w:tc>
      </w:tr>
      <w:tr>
        <w:trPr>
          <w:trHeight w:val="30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 13a-14 or 15d-14.</w:t>
            </w:r>
          </w:p>
        </w:tc>
        <w:tc>
          <w:tcPr>
            <w:tcW w:w="3000" w:type="dxa"/>
            <w:vAlign w:val="bottom"/>
            <w:gridSpan w:val="4"/>
          </w:tcPr>
          <w:p>
            <w:pPr>
              <w:spacing w:after="0"/>
              <w:rPr>
                <w:sz w:val="24"/>
                <w:szCs w:val="24"/>
                <w:color w:val="auto"/>
              </w:rPr>
            </w:pPr>
          </w:p>
        </w:tc>
      </w:tr>
      <w:tr>
        <w:trPr>
          <w:trHeight w:val="30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 or 15d-14.</w:t>
            </w: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Exchange Act rules 13a-14(b) or 15d-14(b) and</w:t>
            </w:r>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8020" w:type="dxa"/>
            <w:vAlign w:val="bottom"/>
            <w:gridSpan w:val="6"/>
          </w:tcPr>
          <w:p>
            <w:pPr>
              <w:spacing w:after="0"/>
              <w:rPr>
                <w:sz w:val="17"/>
                <w:szCs w:val="17"/>
                <w:color w:val="auto"/>
              </w:rPr>
            </w:pPr>
          </w:p>
        </w:tc>
      </w:tr>
      <w:tr>
        <w:trPr>
          <w:trHeight w:val="326"/>
        </w:trPr>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*Filed herewith.</w:t>
      </w:r>
    </w:p>
    <w:p>
      <w:pPr>
        <w:spacing w:after="0" w:line="5" w:lineRule="exact"/>
        <w:rPr>
          <w:sz w:val="20"/>
          <w:szCs w:val="20"/>
          <w:color w:val="auto"/>
        </w:rPr>
      </w:pPr>
    </w:p>
    <w:p>
      <w:pPr>
        <w:ind w:left="145" w:hanging="145"/>
        <w:spacing w:after="0"/>
        <w:tabs>
          <w:tab w:leader="none" w:pos="145"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w:t>
      </w:r>
    </w:p>
    <w:p>
      <w:pPr>
        <w:spacing w:after="0" w:line="13" w:lineRule="exact"/>
        <w:rPr>
          <w:sz w:val="20"/>
          <w:szCs w:val="20"/>
          <w:color w:val="auto"/>
        </w:rPr>
      </w:pPr>
    </w:p>
    <w:p>
      <w:pPr>
        <w:ind w:left="145" w:right="60"/>
        <w:spacing w:after="0" w:line="252" w:lineRule="auto"/>
        <w:rPr>
          <w:sz w:val="20"/>
          <w:szCs w:val="20"/>
          <w:color w:val="auto"/>
        </w:rPr>
      </w:pPr>
      <w:r>
        <w:rPr>
          <w:rFonts w:ascii="Times New Roman" w:cs="Times New Roman" w:eastAsia="Times New Roman" w:hAnsi="Times New Roman"/>
          <w:sz w:val="18"/>
          <w:szCs w:val="18"/>
          <w:color w:val="auto"/>
        </w:rPr>
        <w:t>“filed”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5"/>
          </w:cols>
          <w:pgMar w:left="315"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333" w:lineRule="exact"/>
        <w:rPr>
          <w:sz w:val="20"/>
          <w:szCs w:val="20"/>
          <w:color w:val="auto"/>
        </w:rPr>
      </w:pPr>
    </w:p>
    <w:p>
      <w:pPr>
        <w:ind w:left="20"/>
        <w:spacing w:after="0"/>
        <w:tabs>
          <w:tab w:leader="none" w:pos="5820" w:val="left"/>
          <w:tab w:leader="none" w:pos="628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Peter Beck</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20"/>
        <w:spacing w:after="0"/>
        <w:tabs>
          <w:tab w:leader="none" w:pos="5820" w:val="left"/>
          <w:tab w:leader="none" w:pos="628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Adam Spice</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60"/>
          </w:cols>
          <w:pgMar w:left="320" w:top="117" w:right="8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AMENDMENT TO EMPLOYMENT AGREEMENT</w:t>
      </w:r>
    </w:p>
    <w:p>
      <w:pPr>
        <w:spacing w:after="0" w:line="197"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2"/>
          <w:szCs w:val="22"/>
          <w:color w:val="auto"/>
        </w:rPr>
        <w:t>This Amendment to Employment Agreement (this “Amendment”) is entered into as of March 30, 2026 (the “Effective Date”), by and between Rocket Lab Limited (the “Company”) and Sir Peter Beck (“Executive”).</w:t>
      </w: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are party to that certain Amended and Restated Employment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December 3, 2024 (the “Employment Agreement”); and</w:t>
      </w:r>
    </w:p>
    <w:p>
      <w:pPr>
        <w:spacing w:after="0" w:line="69" w:lineRule="exact"/>
        <w:rPr>
          <w:sz w:val="20"/>
          <w:szCs w:val="20"/>
          <w:color w:val="auto"/>
        </w:rPr>
      </w:pPr>
    </w:p>
    <w:p>
      <w:pPr>
        <w:ind w:right="100" w:firstLine="648"/>
        <w:spacing w:after="0" w:line="30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has requested, and the Company has agreed to, a reduction in Executive’s base salary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minimum wage entitlement under New Zealand law, effective as of April 1, 2026 (the “Salary Reduction”).</w:t>
      </w:r>
    </w:p>
    <w:p>
      <w:pPr>
        <w:spacing w:after="0" w:line="83" w:lineRule="exact"/>
        <w:rPr>
          <w:sz w:val="20"/>
          <w:szCs w:val="20"/>
          <w:color w:val="auto"/>
        </w:rPr>
      </w:pPr>
    </w:p>
    <w:p>
      <w:pPr>
        <w:ind w:right="120" w:firstLine="324"/>
        <w:spacing w:after="0" w:line="300"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set forth herein, the parties agree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83" w:lineRule="exact"/>
        <w:rPr>
          <w:sz w:val="20"/>
          <w:szCs w:val="20"/>
          <w:color w:val="auto"/>
        </w:rPr>
      </w:pPr>
    </w:p>
    <w:p>
      <w:pPr>
        <w:jc w:val="both"/>
        <w:ind w:left="640" w:right="100" w:hanging="318"/>
        <w:spacing w:after="0" w:line="283" w:lineRule="auto"/>
        <w:tabs>
          <w:tab w:leader="none" w:pos="6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Base Salary Reduction. </w:t>
      </w:r>
      <w:r>
        <w:rPr>
          <w:rFonts w:ascii="Times New Roman" w:cs="Times New Roman" w:eastAsia="Times New Roman" w:hAnsi="Times New Roman"/>
          <w:sz w:val="22"/>
          <w:szCs w:val="22"/>
          <w:color w:val="auto"/>
        </w:rPr>
        <w:t>Notwithstanding anything to the contrary in the Employment Agreement, effective as of April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 2026, clause 4(a) of the Employment Agreement is varied so that the Executive’s base salary shall be NZD 52,929.50 per year, the minimum wage under New Zealand law. Clauses 5 to 7 of the employment agreement shall be deleted, and the Executive shall not be entitled to an annual bonus and/or shall not be entitled to participate in any equity scheme. A new clause 5 shall be included in the employment agreement as follows:</w:t>
      </w:r>
    </w:p>
    <w:p>
      <w:pPr>
        <w:spacing w:after="0" w:line="105" w:lineRule="exact"/>
        <w:rPr>
          <w:sz w:val="20"/>
          <w:szCs w:val="20"/>
          <w:color w:val="auto"/>
        </w:rPr>
      </w:pPr>
    </w:p>
    <w:p>
      <w:pPr>
        <w:ind w:left="1520" w:hanging="316"/>
        <w:spacing w:after="0"/>
        <w:tabs>
          <w:tab w:leader="none" w:pos="15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KiwiSaver</w:t>
      </w:r>
    </w:p>
    <w:p>
      <w:pPr>
        <w:spacing w:after="0" w:line="193" w:lineRule="exact"/>
        <w:rPr>
          <w:sz w:val="20"/>
          <w:szCs w:val="20"/>
          <w:color w:val="auto"/>
        </w:rPr>
      </w:pPr>
    </w:p>
    <w:p>
      <w:pPr>
        <w:jc w:val="both"/>
        <w:ind w:left="1520" w:right="100" w:hanging="316"/>
        <w:spacing w:after="0" w:line="279" w:lineRule="auto"/>
        <w:tabs>
          <w:tab w:leader="none" w:pos="151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agreed that the base salary in this Agreement is inclusive of any KiwiSaver employer contributions. As such, if you make any contributions to KiwiSaver now or any time in the future, you agree that the Salary will be inclusive of the KiwiSaver employer contributions (including any ESCT or any other applicable tax/levy), and that the amount of any KiwiSaver employer contributions will be diverted from your Salary.</w:t>
      </w:r>
    </w:p>
    <w:p>
      <w:pPr>
        <w:spacing w:after="0" w:line="123" w:lineRule="exact"/>
        <w:rPr>
          <w:sz w:val="20"/>
          <w:szCs w:val="20"/>
          <w:color w:val="auto"/>
        </w:rPr>
      </w:pPr>
    </w:p>
    <w:p>
      <w:pPr>
        <w:ind w:left="640" w:right="100"/>
        <w:spacing w:after="0" w:line="296" w:lineRule="auto"/>
        <w:rPr>
          <w:sz w:val="20"/>
          <w:szCs w:val="20"/>
          <w:color w:val="auto"/>
        </w:rPr>
      </w:pPr>
      <w:r>
        <w:rPr>
          <w:rFonts w:ascii="Times New Roman" w:cs="Times New Roman" w:eastAsia="Times New Roman" w:hAnsi="Times New Roman"/>
          <w:sz w:val="22"/>
          <w:szCs w:val="22"/>
          <w:color w:val="auto"/>
        </w:rPr>
        <w:t>Executive acknowledges and agrees that this Salary Reduction has been voluntarily requested by Executive and accepted by the Company.</w:t>
      </w:r>
    </w:p>
    <w:p>
      <w:pPr>
        <w:spacing w:after="0" w:line="87" w:lineRule="exact"/>
        <w:rPr>
          <w:sz w:val="20"/>
          <w:szCs w:val="20"/>
          <w:color w:val="auto"/>
        </w:rPr>
      </w:pPr>
    </w:p>
    <w:p>
      <w:pPr>
        <w:ind w:left="640" w:right="120" w:hanging="318"/>
        <w:spacing w:after="0" w:line="277" w:lineRule="auto"/>
        <w:tabs>
          <w:tab w:leader="none" w:pos="6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Acknowledgment and Waiver. </w:t>
      </w:r>
      <w:r>
        <w:rPr>
          <w:rFonts w:ascii="Times New Roman" w:cs="Times New Roman" w:eastAsia="Times New Roman" w:hAnsi="Times New Roman"/>
          <w:sz w:val="22"/>
          <w:szCs w:val="22"/>
          <w:color w:val="auto"/>
        </w:rPr>
        <w:t>Executive acknowledges and agrees that none of the changes in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but not limited to, the Salary Reduction constitute:</w:t>
      </w:r>
    </w:p>
    <w:p>
      <w:pPr>
        <w:jc w:val="both"/>
        <w:ind w:left="640" w:right="100" w:firstLine="7"/>
        <w:spacing w:after="0" w:line="286" w:lineRule="auto"/>
        <w:tabs>
          <w:tab w:leader="none" w:pos="9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of the Employment Agreement; or (b) “Good Reason,” as defined under the Rocket Lab Executive Severance Plan, and hereby waives any claims to the contrary by execution of this Amendment. Executive agrees that he cannot resign for Good Reason because of any of the actions contemplated in this Amendment and agrees he will not do so.</w:t>
      </w:r>
    </w:p>
    <w:p>
      <w:pPr>
        <w:sectPr>
          <w:pgSz w:w="11900" w:h="16838" w:orient="portrait"/>
          <w:cols w:equalWidth="0" w:num="1">
            <w:col w:w="11140"/>
          </w:cols>
          <w:pgMar w:left="420" w:top="1328" w:right="339" w:bottom="1440" w:gutter="0" w:footer="0" w:header="0"/>
        </w:sectPr>
      </w:pPr>
    </w:p>
    <w:bookmarkStart w:id="45" w:name="page46"/>
    <w:bookmarkEnd w:id="45"/>
    <w:p>
      <w:pPr>
        <w:spacing w:after="0" w:line="59" w:lineRule="exact"/>
        <w:rPr>
          <w:sz w:val="20"/>
          <w:szCs w:val="20"/>
          <w:color w:val="auto"/>
        </w:rPr>
      </w:pPr>
    </w:p>
    <w:p>
      <w:pPr>
        <w:ind w:left="640" w:right="20" w:hanging="318"/>
        <w:spacing w:after="0" w:line="300" w:lineRule="auto"/>
        <w:tabs>
          <w:tab w:leader="none" w:pos="6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Receipt of All Compensation. </w:t>
      </w:r>
      <w:r>
        <w:rPr>
          <w:rFonts w:ascii="Times New Roman" w:cs="Times New Roman" w:eastAsia="Times New Roman" w:hAnsi="Times New Roman"/>
          <w:sz w:val="22"/>
          <w:szCs w:val="22"/>
          <w:color w:val="auto"/>
        </w:rPr>
        <w:t>Executive acknowledges and agrees he has been paid all compensation due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83" w:lineRule="exact"/>
        <w:rPr>
          <w:rFonts w:ascii="Times New Roman" w:cs="Times New Roman" w:eastAsia="Times New Roman" w:hAnsi="Times New Roman"/>
          <w:sz w:val="22"/>
          <w:szCs w:val="22"/>
          <w:color w:val="auto"/>
        </w:rPr>
      </w:pPr>
    </w:p>
    <w:p>
      <w:pPr>
        <w:jc w:val="both"/>
        <w:ind w:left="640" w:hanging="318"/>
        <w:spacing w:after="0" w:line="283" w:lineRule="auto"/>
        <w:tabs>
          <w:tab w:leader="none" w:pos="6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Bonuses. </w:t>
      </w:r>
      <w:r>
        <w:rPr>
          <w:rFonts w:ascii="Times New Roman" w:cs="Times New Roman" w:eastAsia="Times New Roman" w:hAnsi="Times New Roman"/>
          <w:sz w:val="22"/>
          <w:szCs w:val="22"/>
          <w:color w:val="auto"/>
        </w:rPr>
        <w:t>Executive acknowledges and agrees that, effective as of the Effective Date, Executive has no expectation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be entitled to, any annual bonus pursuant Section 5 of the Employment Agreement or any Target Annual Bonus amount notwithstanding any such annual bonuses that are paid to similarly situated senior executives of the Company or its parent company.</w:t>
      </w:r>
    </w:p>
    <w:p>
      <w:pPr>
        <w:spacing w:after="0" w:line="102" w:lineRule="exact"/>
        <w:rPr>
          <w:rFonts w:ascii="Times New Roman" w:cs="Times New Roman" w:eastAsia="Times New Roman" w:hAnsi="Times New Roman"/>
          <w:sz w:val="22"/>
          <w:szCs w:val="22"/>
          <w:color w:val="auto"/>
        </w:rPr>
      </w:pPr>
    </w:p>
    <w:p>
      <w:pPr>
        <w:ind w:left="640" w:right="20" w:hanging="318"/>
        <w:spacing w:after="0" w:line="313" w:lineRule="auto"/>
        <w:tabs>
          <w:tab w:leader="none" w:pos="6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Other Amendments. </w:t>
      </w:r>
      <w:r>
        <w:rPr>
          <w:rFonts w:ascii="Times New Roman" w:cs="Times New Roman" w:eastAsia="Times New Roman" w:hAnsi="Times New Roman"/>
          <w:sz w:val="22"/>
          <w:szCs w:val="22"/>
          <w:color w:val="auto"/>
        </w:rPr>
        <w:t>Except as expressly set forth herein, the Employment Agreement shall remain in full force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effect in accordance with its terms.</w:t>
      </w:r>
    </w:p>
    <w:p>
      <w:pPr>
        <w:spacing w:after="0" w:line="1" w:lineRule="exact"/>
        <w:rPr>
          <w:rFonts w:ascii="Times New Roman" w:cs="Times New Roman" w:eastAsia="Times New Roman" w:hAnsi="Times New Roman"/>
          <w:sz w:val="22"/>
          <w:szCs w:val="22"/>
          <w:color w:val="auto"/>
        </w:rPr>
      </w:pPr>
    </w:p>
    <w:p>
      <w:pPr>
        <w:ind w:left="640" w:right="340" w:hanging="318"/>
        <w:spacing w:after="0" w:line="300" w:lineRule="auto"/>
        <w:tabs>
          <w:tab w:leader="none" w:pos="6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Amendment shall be governed by and construed in accordance with the laws of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Zealand.</w:t>
      </w:r>
    </w:p>
    <w:p>
      <w:pPr>
        <w:spacing w:after="0" w:line="83" w:lineRule="exact"/>
        <w:rPr>
          <w:rFonts w:ascii="Times New Roman" w:cs="Times New Roman" w:eastAsia="Times New Roman" w:hAnsi="Times New Roman"/>
          <w:sz w:val="22"/>
          <w:szCs w:val="22"/>
          <w:color w:val="auto"/>
        </w:rPr>
      </w:pPr>
    </w:p>
    <w:p>
      <w:pPr>
        <w:ind w:left="640" w:hanging="318"/>
        <w:spacing w:after="0" w:line="300" w:lineRule="auto"/>
        <w:tabs>
          <w:tab w:leader="none" w:pos="6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Amendment may be executed in counterparts, each of which shall be deemed an original, and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together shall constitute one and the same instrument.</w:t>
      </w:r>
    </w:p>
    <w:p>
      <w:pPr>
        <w:spacing w:after="0" w:line="83" w:lineRule="exact"/>
        <w:rPr>
          <w:rFonts w:ascii="Times New Roman" w:cs="Times New Roman" w:eastAsia="Times New Roman" w:hAnsi="Times New Roman"/>
          <w:sz w:val="22"/>
          <w:szCs w:val="22"/>
          <w:color w:val="auto"/>
        </w:rPr>
      </w:pPr>
    </w:p>
    <w:p>
      <w:pPr>
        <w:ind w:left="640" w:right="20" w:hanging="318"/>
        <w:spacing w:after="0" w:line="313" w:lineRule="auto"/>
        <w:tabs>
          <w:tab w:leader="none" w:pos="6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Oral Modification</w:t>
      </w:r>
      <w:r>
        <w:rPr>
          <w:rFonts w:ascii="Times New Roman" w:cs="Times New Roman" w:eastAsia="Times New Roman" w:hAnsi="Times New Roman"/>
          <w:sz w:val="22"/>
          <w:szCs w:val="22"/>
          <w:color w:val="auto"/>
        </w:rPr>
        <w:t>. This Amendment may only be modified, in a writing signed by the Executive and a duly-authorized representative of the Company.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color w:val="auto"/>
        </w:rPr>
        <w:t>N WITNESS WHEREOF</w:t>
      </w:r>
      <w:r>
        <w:rPr>
          <w:rFonts w:ascii="Times New Roman" w:cs="Times New Roman" w:eastAsia="Times New Roman" w:hAnsi="Times New Roman"/>
          <w:sz w:val="22"/>
          <w:szCs w:val="22"/>
          <w:color w:val="auto"/>
        </w:rPr>
        <w:t>, the parties have executed this Amendment as of the date below. Signed by the Executive: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/s/ Peter Beck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28,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Sir Peter Beck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on behalf of 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/s/ Arjun Kampani</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29,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General Counsel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Arjun Kampani</w:t>
      </w:r>
    </w:p>
    <w:p>
      <w:pPr>
        <w:sectPr>
          <w:pgSz w:w="11900" w:h="16838" w:orient="portrait"/>
          <w:cols w:equalWidth="0" w:num="1">
            <w:col w:w="11040"/>
          </w:cols>
          <w:pgMar w:left="420" w:top="1440"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GRANTS CANCELLATION AGREEMENT</w:t>
      </w:r>
    </w:p>
    <w:p>
      <w:pPr>
        <w:spacing w:after="0" w:line="233" w:lineRule="exact"/>
        <w:rPr>
          <w:sz w:val="20"/>
          <w:szCs w:val="20"/>
          <w:color w:val="auto"/>
        </w:rPr>
      </w:pPr>
    </w:p>
    <w:p>
      <w:pPr>
        <w:ind w:right="120" w:firstLine="729"/>
        <w:spacing w:after="0" w:line="261" w:lineRule="auto"/>
        <w:rPr>
          <w:sz w:val="20"/>
          <w:szCs w:val="20"/>
          <w:color w:val="auto"/>
        </w:rPr>
      </w:pPr>
      <w:r>
        <w:rPr>
          <w:rFonts w:ascii="Times New Roman" w:cs="Times New Roman" w:eastAsia="Times New Roman" w:hAnsi="Times New Roman"/>
          <w:sz w:val="20"/>
          <w:szCs w:val="20"/>
          <w:color w:val="auto"/>
        </w:rPr>
        <w:t>THIS RESTRICTED STOCK UNIT GRANTS CANCELLATION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March 30, 2026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between Rocket Lab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Sir Peter Beck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337" w:lineRule="exact"/>
        <w:rPr>
          <w:sz w:val="20"/>
          <w:szCs w:val="20"/>
          <w:color w:val="auto"/>
        </w:rPr>
      </w:pPr>
    </w:p>
    <w:p>
      <w:pPr>
        <w:jc w:val="both"/>
        <w:ind w:left="100" w:right="100"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previously granted Holder (i) 631,498 restricted stock units of the Company, on December 3, 2024 (the “</w:t>
      </w:r>
      <w:r>
        <w:rPr>
          <w:rFonts w:ascii="Times New Roman" w:cs="Times New Roman" w:eastAsia="Times New Roman" w:hAnsi="Times New Roman"/>
          <w:sz w:val="20"/>
          <w:szCs w:val="20"/>
          <w:u w:val="single" w:color="auto"/>
          <w:color w:val="auto"/>
        </w:rPr>
        <w:t>First RSU Grant</w:t>
      </w:r>
      <w:r>
        <w:rPr>
          <w:rFonts w:ascii="Times New Roman" w:cs="Times New Roman" w:eastAsia="Times New Roman" w:hAnsi="Times New Roman"/>
          <w:sz w:val="20"/>
          <w:szCs w:val="20"/>
          <w:color w:val="auto"/>
        </w:rPr>
        <w:t>”) and (ii) 132,426 restricted stock units of the Company, on November 15, 2025 (the “</w:t>
      </w:r>
      <w:r>
        <w:rPr>
          <w:rFonts w:ascii="Times New Roman" w:cs="Times New Roman" w:eastAsia="Times New Roman" w:hAnsi="Times New Roman"/>
          <w:sz w:val="20"/>
          <w:szCs w:val="20"/>
          <w:u w:val="single" w:color="auto"/>
          <w:color w:val="auto"/>
        </w:rPr>
        <w:t>Second RSU Grant</w:t>
      </w:r>
      <w:r>
        <w:rPr>
          <w:rFonts w:ascii="Times New Roman" w:cs="Times New Roman" w:eastAsia="Times New Roman" w:hAnsi="Times New Roman"/>
          <w:sz w:val="20"/>
          <w:szCs w:val="20"/>
          <w:color w:val="auto"/>
        </w:rPr>
        <w:t>” and collectively with the First RSU Grant, the “</w:t>
      </w:r>
      <w:r>
        <w:rPr>
          <w:rFonts w:ascii="Times New Roman" w:cs="Times New Roman" w:eastAsia="Times New Roman" w:hAnsi="Times New Roman"/>
          <w:sz w:val="20"/>
          <w:szCs w:val="20"/>
          <w:u w:val="single" w:color="auto"/>
          <w:color w:val="auto"/>
        </w:rPr>
        <w:t>RSU Grants</w:t>
      </w:r>
      <w:r>
        <w:rPr>
          <w:rFonts w:ascii="Times New Roman" w:cs="Times New Roman" w:eastAsia="Times New Roman" w:hAnsi="Times New Roman"/>
          <w:sz w:val="20"/>
          <w:szCs w:val="20"/>
          <w:color w:val="auto"/>
        </w:rPr>
        <w:t>”), in each case pursuant to the Company’s 2021 Stock Option and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applicable restricted stock unit award agreements thereunder (collectively, the “</w:t>
      </w:r>
      <w:r>
        <w:rPr>
          <w:rFonts w:ascii="Times New Roman" w:cs="Times New Roman" w:eastAsia="Times New Roman" w:hAnsi="Times New Roman"/>
          <w:sz w:val="20"/>
          <w:szCs w:val="20"/>
          <w:u w:val="single" w:color="auto"/>
          <w:color w:val="auto"/>
        </w:rPr>
        <w:t>RSU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Agreements</w:t>
      </w:r>
      <w:r>
        <w:rPr>
          <w:rFonts w:ascii="Times New Roman" w:cs="Times New Roman" w:eastAsia="Times New Roman" w:hAnsi="Times New Roman"/>
          <w:sz w:val="20"/>
          <w:szCs w:val="20"/>
          <w:color w:val="auto"/>
        </w:rPr>
        <w:t>”), of which 276,281 restricted stock units from the First RSU Grant (the “</w:t>
      </w:r>
      <w:r>
        <w:rPr>
          <w:rFonts w:ascii="Times New Roman" w:cs="Times New Roman" w:eastAsia="Times New Roman" w:hAnsi="Times New Roman"/>
          <w:sz w:val="20"/>
          <w:szCs w:val="20"/>
          <w:u w:val="single" w:color="auto"/>
          <w:color w:val="auto"/>
        </w:rPr>
        <w:t>Unvested Portion from the First RSU Grant</w:t>
      </w:r>
      <w:r>
        <w:rPr>
          <w:rFonts w:ascii="Times New Roman" w:cs="Times New Roman" w:eastAsia="Times New Roman" w:hAnsi="Times New Roman"/>
          <w:sz w:val="20"/>
          <w:szCs w:val="20"/>
          <w:color w:val="auto"/>
        </w:rPr>
        <w:t>”) and 115,874 restricted stock units from the Second RSU Grant (the “</w:t>
      </w:r>
      <w:r>
        <w:rPr>
          <w:rFonts w:ascii="Times New Roman" w:cs="Times New Roman" w:eastAsia="Times New Roman" w:hAnsi="Times New Roman"/>
          <w:sz w:val="20"/>
          <w:szCs w:val="20"/>
          <w:u w:val="single" w:color="auto"/>
          <w:color w:val="auto"/>
        </w:rPr>
        <w:t>Unvested Portion from the Second RSU Grant</w:t>
      </w:r>
      <w:r>
        <w:rPr>
          <w:rFonts w:ascii="Times New Roman" w:cs="Times New Roman" w:eastAsia="Times New Roman" w:hAnsi="Times New Roman"/>
          <w:sz w:val="20"/>
          <w:szCs w:val="20"/>
          <w:color w:val="auto"/>
        </w:rPr>
        <w:t>” and collectively, with the “Unvested Portion from the First RSU Grant”, the “</w:t>
      </w:r>
      <w:r>
        <w:rPr>
          <w:rFonts w:ascii="Times New Roman" w:cs="Times New Roman" w:eastAsia="Times New Roman" w:hAnsi="Times New Roman"/>
          <w:sz w:val="20"/>
          <w:szCs w:val="20"/>
          <w:u w:val="single" w:color="auto"/>
          <w:color w:val="auto"/>
        </w:rPr>
        <w:t>Unvested RSUs</w:t>
      </w:r>
      <w:r>
        <w:rPr>
          <w:rFonts w:ascii="Times New Roman" w:cs="Times New Roman" w:eastAsia="Times New Roman" w:hAnsi="Times New Roman"/>
          <w:sz w:val="20"/>
          <w:szCs w:val="20"/>
          <w:color w:val="auto"/>
        </w:rPr>
        <w:t>”) remain unvested and unsettled; and</w:t>
      </w:r>
    </w:p>
    <w:p>
      <w:pPr>
        <w:spacing w:after="0" w:line="3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the Company and the Holder desire to cancel all of the Unvested RSUs.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337" w:lineRule="exact"/>
        <w:rPr>
          <w:sz w:val="20"/>
          <w:szCs w:val="20"/>
          <w:color w:val="auto"/>
        </w:rPr>
      </w:pPr>
    </w:p>
    <w:p>
      <w:pPr>
        <w:jc w:val="both"/>
        <w:ind w:left="100" w:right="120"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promises and covenants set forth herein and for good and valuable consideration, the receipt and sufficiency of which are hereby acknowledged, the parties hereto, intending to be legally bound, agree as follows:</w:t>
      </w:r>
    </w:p>
    <w:p>
      <w:pPr>
        <w:spacing w:after="0" w:line="208" w:lineRule="exact"/>
        <w:rPr>
          <w:sz w:val="20"/>
          <w:szCs w:val="20"/>
          <w:color w:val="auto"/>
        </w:rPr>
      </w:pPr>
    </w:p>
    <w:p>
      <w:pPr>
        <w:jc w:val="both"/>
        <w:ind w:left="100" w:right="100" w:firstLine="646"/>
        <w:spacing w:after="0" w:line="257" w:lineRule="auto"/>
        <w:tabs>
          <w:tab w:leader="none" w:pos="130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Cancellation of the Unvested RSUs</w:t>
      </w:r>
      <w:r>
        <w:rPr>
          <w:rFonts w:ascii="Times New Roman" w:cs="Times New Roman" w:eastAsia="Times New Roman" w:hAnsi="Times New Roman"/>
          <w:sz w:val="20"/>
          <w:szCs w:val="20"/>
          <w:color w:val="auto"/>
        </w:rPr>
        <w:t>. The Holder hereby (i) acknowledges that the Unvested RSUs have not vested or been settled; and (ii) agrees to and acknowledges that this Agreement hereby cancels the Unvested RSUs in their entirety. As of the Effective Date, the Unvested RSUs shall be null and void, and the Holder releases the Company from any and all liability thereunder and under the applicable RSU Agreements with respect to such Unvested RSUs. Furthermore, as of the Effective Date, the parties agree that the RSU Agreements shall be amended accordingly to reflect the cancellation of the Unvested RSUs.</w:t>
      </w:r>
    </w:p>
    <w:p>
      <w:pPr>
        <w:spacing w:after="0" w:line="199" w:lineRule="exact"/>
        <w:rPr>
          <w:rFonts w:ascii="Times New Roman" w:cs="Times New Roman" w:eastAsia="Times New Roman" w:hAnsi="Times New Roman"/>
          <w:sz w:val="20"/>
          <w:szCs w:val="20"/>
          <w:color w:val="auto"/>
        </w:rPr>
      </w:pPr>
    </w:p>
    <w:p>
      <w:pPr>
        <w:ind w:left="100" w:right="120" w:firstLine="646"/>
        <w:spacing w:after="0" w:line="283" w:lineRule="auto"/>
        <w:tabs>
          <w:tab w:leader="none" w:pos="130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deemed to be a contract made under, and shall be construed in accordance with, the laws of Delaware, without giving effect to conflict of laws principles thereof.</w:t>
      </w:r>
    </w:p>
    <w:p>
      <w:pPr>
        <w:spacing w:after="0" w:line="186" w:lineRule="exact"/>
        <w:rPr>
          <w:rFonts w:ascii="Times New Roman" w:cs="Times New Roman" w:eastAsia="Times New Roman" w:hAnsi="Times New Roman"/>
          <w:sz w:val="20"/>
          <w:szCs w:val="20"/>
          <w:color w:val="auto"/>
        </w:rPr>
      </w:pPr>
    </w:p>
    <w:p>
      <w:pPr>
        <w:ind w:left="100" w:right="120" w:firstLine="646"/>
        <w:spacing w:after="0" w:line="283" w:lineRule="auto"/>
        <w:tabs>
          <w:tab w:leader="none" w:pos="130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inure to the benefit of and be enforceable by and against the parties hereto and their respective successors and assigns.</w:t>
      </w:r>
    </w:p>
    <w:p>
      <w:pPr>
        <w:spacing w:after="0" w:line="186" w:lineRule="exact"/>
        <w:rPr>
          <w:rFonts w:ascii="Times New Roman" w:cs="Times New Roman" w:eastAsia="Times New Roman" w:hAnsi="Times New Roman"/>
          <w:sz w:val="20"/>
          <w:szCs w:val="20"/>
          <w:color w:val="auto"/>
        </w:rPr>
      </w:pPr>
    </w:p>
    <w:p>
      <w:pPr>
        <w:jc w:val="both"/>
        <w:ind w:left="100" w:right="100" w:firstLine="646"/>
        <w:spacing w:after="0" w:line="261" w:lineRule="auto"/>
        <w:tabs>
          <w:tab w:leader="none" w:pos="130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simultaneously in any number of counterparts (telecopied or otherwise), each of which when so executed and delivered shall be taken to be an original but all of which together shall constitute one and the same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28" w:right="339" w:bottom="1440" w:gutter="0" w:footer="0" w:header="0"/>
        </w:sectPr>
      </w:pPr>
    </w:p>
    <w:bookmarkStart w:id="47" w:name="page48"/>
    <w:bookmarkEnd w:id="47"/>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under seal as of the date first set forth above.</w:t>
      </w:r>
    </w:p>
    <w:p>
      <w:pPr>
        <w:sectPr>
          <w:pgSz w:w="11900" w:h="16838" w:orient="portrait"/>
          <w:cols w:equalWidth="0" w:num="1">
            <w:col w:w="9399"/>
          </w:cols>
          <w:pgMar w:left="1060" w:top="1440" w:right="1440" w:bottom="1440" w:gutter="0" w:footer="0" w:header="0"/>
        </w:sectPr>
      </w:pP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ROCKET LAB CORPORATION</w:t>
      </w: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Arjun Kampani</w:t>
      </w:r>
    </w:p>
    <w:p>
      <w:pPr>
        <w:ind w:left="4460"/>
        <w:spacing w:after="0" w:line="197" w:lineRule="auto"/>
        <w:rPr>
          <w:sz w:val="20"/>
          <w:szCs w:val="20"/>
          <w:color w:val="auto"/>
        </w:rPr>
      </w:pPr>
      <w:r>
        <w:rPr>
          <w:rFonts w:ascii="Times New Roman" w:cs="Times New Roman" w:eastAsia="Times New Roman" w:hAnsi="Times New Roman"/>
          <w:sz w:val="20"/>
          <w:szCs w:val="20"/>
          <w:color w:val="auto"/>
        </w:rPr>
        <w:t>Name: Arjun Kampan</w:t>
      </w:r>
    </w:p>
    <w:p>
      <w:pPr>
        <w:ind w:left="4460"/>
        <w:spacing w:after="0"/>
        <w:rPr>
          <w:sz w:val="20"/>
          <w:szCs w:val="20"/>
          <w:color w:val="auto"/>
        </w:rPr>
      </w:pPr>
      <w:r>
        <w:rPr>
          <w:rFonts w:ascii="Times New Roman" w:cs="Times New Roman" w:eastAsia="Times New Roman" w:hAnsi="Times New Roman"/>
          <w:sz w:val="20"/>
          <w:szCs w:val="20"/>
          <w:color w:val="auto"/>
        </w:rPr>
        <w:t>Title: SVP, General Counsel</w:t>
      </w: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HOLDER:</w:t>
      </w: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u w:val="single" w:color="auto"/>
          <w:color w:val="auto"/>
        </w:rPr>
        <w:t>/s/ Peter Beck</w:t>
      </w:r>
    </w:p>
    <w:p>
      <w:pPr>
        <w:ind w:left="4460"/>
        <w:spacing w:after="0"/>
        <w:rPr>
          <w:sz w:val="20"/>
          <w:szCs w:val="20"/>
          <w:color w:val="auto"/>
        </w:rPr>
      </w:pPr>
      <w:r>
        <w:rPr>
          <w:rFonts w:ascii="Times New Roman" w:cs="Times New Roman" w:eastAsia="Times New Roman" w:hAnsi="Times New Roman"/>
          <w:sz w:val="20"/>
          <w:szCs w:val="20"/>
          <w:color w:val="auto"/>
        </w:rPr>
        <w:t>Sir Peter Beck</w:t>
      </w:r>
    </w:p>
    <w:p>
      <w:pPr>
        <w:spacing w:after="0" w:line="1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ADDRESS OF HOLDER</w:t>
      </w: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c/o Rocket Lab Corporation</w:t>
      </w:r>
    </w:p>
    <w:p>
      <w:pPr>
        <w:ind w:left="4460"/>
        <w:spacing w:after="0" w:line="211" w:lineRule="auto"/>
        <w:rPr>
          <w:sz w:val="20"/>
          <w:szCs w:val="20"/>
          <w:color w:val="auto"/>
        </w:rPr>
      </w:pPr>
      <w:r>
        <w:rPr>
          <w:rFonts w:ascii="Times New Roman" w:cs="Times New Roman" w:eastAsia="Times New Roman" w:hAnsi="Times New Roman"/>
          <w:sz w:val="20"/>
          <w:szCs w:val="20"/>
          <w:color w:val="auto"/>
        </w:rPr>
        <w:t>3881 McGowen Street</w:t>
      </w:r>
    </w:p>
    <w:p>
      <w:pPr>
        <w:ind w:left="4460"/>
        <w:spacing w:after="0"/>
        <w:rPr>
          <w:sz w:val="20"/>
          <w:szCs w:val="20"/>
          <w:color w:val="auto"/>
        </w:rPr>
      </w:pPr>
      <w:r>
        <w:rPr>
          <w:rFonts w:ascii="Times New Roman" w:cs="Times New Roman" w:eastAsia="Times New Roman" w:hAnsi="Times New Roman"/>
          <w:sz w:val="20"/>
          <w:szCs w:val="20"/>
          <w:color w:val="auto"/>
        </w:rPr>
        <w:t>Long Beach, California 90808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399"/>
          </w:cols>
          <w:pgMar w:left="1060" w:top="1440" w:right="1440"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w:t>
      </w:r>
    </w:p>
    <w:p>
      <w:pPr>
        <w:spacing w:after="0" w:line="3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RULE 13A-14 AS ADOPTED PURSUANT TO SECTION 302 OF SARBANES-OXLEY ACT OF 2002</w:t>
      </w:r>
    </w:p>
    <w:p>
      <w:pPr>
        <w:spacing w:after="0" w:line="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 Peter Beck, certify that:</w:t>
      </w:r>
    </w:p>
    <w:p>
      <w:pPr>
        <w:spacing w:after="0" w:line="90" w:lineRule="exact"/>
        <w:rPr>
          <w:sz w:val="20"/>
          <w:szCs w:val="20"/>
          <w:color w:val="auto"/>
        </w:rPr>
      </w:pPr>
    </w:p>
    <w:p>
      <w:pPr>
        <w:ind w:left="1165" w:hanging="1165"/>
        <w:spacing w:after="0"/>
        <w:tabs>
          <w:tab w:leader="none" w:pos="11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Rocket Lab Corporation;</w:t>
      </w:r>
    </w:p>
    <w:p>
      <w:pPr>
        <w:spacing w:after="0" w:line="76" w:lineRule="exact"/>
        <w:rPr>
          <w:rFonts w:ascii="Times New Roman" w:cs="Times New Roman" w:eastAsia="Times New Roman" w:hAnsi="Times New Roman"/>
          <w:sz w:val="18"/>
          <w:szCs w:val="18"/>
          <w:color w:val="auto"/>
        </w:rPr>
      </w:pPr>
    </w:p>
    <w:p>
      <w:pPr>
        <w:ind w:left="1185" w:right="60" w:hanging="1185"/>
        <w:spacing w:after="0" w:line="266"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1185" w:right="360" w:hanging="1172"/>
        <w:spacing w:after="0" w:line="312" w:lineRule="auto"/>
        <w:tabs>
          <w:tab w:leader="none" w:pos="11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sz w:val="20"/>
          <w:szCs w:val="20"/>
          <w:color w:val="auto"/>
        </w:rPr>
      </w:pPr>
    </w:p>
    <w:p>
      <w:pPr>
        <w:ind w:left="1185" w:right="220" w:hanging="1185"/>
        <w:spacing w:after="0" w:line="276" w:lineRule="auto"/>
        <w:tabs>
          <w:tab w:leader="none" w:pos="11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58" w:lineRule="exact"/>
        <w:rPr>
          <w:rFonts w:ascii="Times New Roman" w:cs="Times New Roman" w:eastAsia="Times New Roman" w:hAnsi="Times New Roman"/>
          <w:sz w:val="17"/>
          <w:szCs w:val="17"/>
          <w:color w:val="auto"/>
        </w:rPr>
      </w:pPr>
    </w:p>
    <w:p>
      <w:pPr>
        <w:ind w:left="2605" w:right="200" w:hanging="1166"/>
        <w:spacing w:after="0" w:line="261" w:lineRule="auto"/>
        <w:tabs>
          <w:tab w:leader="none" w:pos="260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8"/>
          <w:szCs w:val="18"/>
          <w:color w:val="auto"/>
        </w:rPr>
      </w:pPr>
    </w:p>
    <w:p>
      <w:pPr>
        <w:ind w:left="2605" w:right="120" w:hanging="1166"/>
        <w:spacing w:after="0" w:line="289" w:lineRule="auto"/>
        <w:tabs>
          <w:tab w:leader="none" w:pos="2601"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Times New Roman" w:cs="Times New Roman" w:eastAsia="Times New Roman" w:hAnsi="Times New Roman"/>
          <w:sz w:val="17"/>
          <w:szCs w:val="17"/>
          <w:color w:val="auto"/>
        </w:rPr>
      </w:pPr>
    </w:p>
    <w:p>
      <w:pPr>
        <w:ind w:left="2605" w:right="300" w:hanging="1166"/>
        <w:spacing w:after="0" w:line="266" w:lineRule="auto"/>
        <w:tabs>
          <w:tab w:leader="none" w:pos="260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2605" w:right="100" w:hanging="1166"/>
        <w:spacing w:after="0" w:line="261" w:lineRule="auto"/>
        <w:tabs>
          <w:tab w:leader="none" w:pos="260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8"/>
          <w:szCs w:val="18"/>
          <w:color w:val="auto"/>
        </w:rPr>
      </w:pPr>
    </w:p>
    <w:p>
      <w:pPr>
        <w:ind w:left="1185" w:right="280" w:hanging="1172"/>
        <w:spacing w:after="0" w:line="266" w:lineRule="auto"/>
        <w:tabs>
          <w:tab w:leader="none" w:pos="11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2605" w:right="460" w:hanging="1166"/>
        <w:spacing w:after="0" w:line="266" w:lineRule="auto"/>
        <w:tabs>
          <w:tab w:leader="none" w:pos="260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2605" w:right="280" w:hanging="1166"/>
        <w:spacing w:after="0" w:line="282" w:lineRule="auto"/>
        <w:tabs>
          <w:tab w:leader="none" w:pos="260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5"/>
        <w:spacing w:after="0"/>
        <w:tabs>
          <w:tab w:leader="none" w:pos="5665" w:val="left"/>
          <w:tab w:leader="none" w:pos="6125"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34290</wp:posOffset>
            </wp:positionV>
            <wp:extent cx="3248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0"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Peter Beck</w:t>
      </w:r>
    </w:p>
    <w:p>
      <w:pPr>
        <w:spacing w:after="0" w:line="63"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5"/>
          </w:cols>
          <w:pgMar w:left="315" w:top="103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 AS ADOPTED PURSUANT TO SECTION 302 OF SARBANES-OXLEY ACT OF 2002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Spice, certify that:</w:t>
      </w:r>
    </w:p>
    <w:p>
      <w:pPr>
        <w:spacing w:after="0" w:line="90" w:lineRule="exact"/>
        <w:rPr>
          <w:sz w:val="20"/>
          <w:szCs w:val="20"/>
          <w:color w:val="auto"/>
        </w:rPr>
      </w:pPr>
    </w:p>
    <w:p>
      <w:pPr>
        <w:ind w:left="1160" w:hanging="1152"/>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Rocket Lab Corporation;</w:t>
      </w:r>
    </w:p>
    <w:p>
      <w:pPr>
        <w:spacing w:after="0" w:line="76" w:lineRule="exact"/>
        <w:rPr>
          <w:rFonts w:ascii="Times New Roman" w:cs="Times New Roman" w:eastAsia="Times New Roman" w:hAnsi="Times New Roman"/>
          <w:sz w:val="18"/>
          <w:szCs w:val="18"/>
          <w:color w:val="auto"/>
        </w:rPr>
      </w:pPr>
    </w:p>
    <w:p>
      <w:pPr>
        <w:ind w:left="1180" w:right="60" w:hanging="1172"/>
        <w:spacing w:after="0" w:line="266" w:lineRule="auto"/>
        <w:tabs>
          <w:tab w:leader="none" w:pos="1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1180" w:right="360" w:hanging="1172"/>
        <w:spacing w:after="0" w:line="312" w:lineRule="auto"/>
        <w:tabs>
          <w:tab w:leader="none" w:pos="117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Times New Roman" w:cs="Times New Roman" w:eastAsia="Times New Roman" w:hAnsi="Times New Roman"/>
          <w:sz w:val="17"/>
          <w:szCs w:val="17"/>
          <w:color w:val="auto"/>
        </w:rPr>
      </w:pPr>
    </w:p>
    <w:p>
      <w:pPr>
        <w:ind w:left="1180" w:right="220" w:hanging="1172"/>
        <w:spacing w:after="0" w:line="276" w:lineRule="auto"/>
        <w:tabs>
          <w:tab w:leader="none" w:pos="117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58" w:lineRule="exact"/>
        <w:rPr>
          <w:rFonts w:ascii="Times New Roman" w:cs="Times New Roman" w:eastAsia="Times New Roman" w:hAnsi="Times New Roman"/>
          <w:sz w:val="17"/>
          <w:szCs w:val="17"/>
          <w:color w:val="auto"/>
        </w:rPr>
      </w:pPr>
    </w:p>
    <w:p>
      <w:pPr>
        <w:ind w:left="2600" w:right="200" w:hanging="1166"/>
        <w:spacing w:after="0" w:line="261" w:lineRule="auto"/>
        <w:tabs>
          <w:tab w:leader="none" w:pos="25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8"/>
          <w:szCs w:val="18"/>
          <w:color w:val="auto"/>
        </w:rPr>
      </w:pPr>
    </w:p>
    <w:p>
      <w:pPr>
        <w:ind w:left="2600" w:right="120" w:hanging="1166"/>
        <w:spacing w:after="0" w:line="289" w:lineRule="auto"/>
        <w:tabs>
          <w:tab w:leader="none" w:pos="259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Times New Roman" w:cs="Times New Roman" w:eastAsia="Times New Roman" w:hAnsi="Times New Roman"/>
          <w:sz w:val="17"/>
          <w:szCs w:val="17"/>
          <w:color w:val="auto"/>
        </w:rPr>
      </w:pPr>
    </w:p>
    <w:p>
      <w:pPr>
        <w:ind w:left="2600" w:right="300" w:hanging="1166"/>
        <w:spacing w:after="0" w:line="266" w:lineRule="auto"/>
        <w:tabs>
          <w:tab w:leader="none" w:pos="25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2600" w:right="100" w:hanging="1166"/>
        <w:spacing w:after="0" w:line="261" w:lineRule="auto"/>
        <w:tabs>
          <w:tab w:leader="none" w:pos="25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8"/>
          <w:szCs w:val="18"/>
          <w:color w:val="auto"/>
        </w:rPr>
      </w:pPr>
    </w:p>
    <w:p>
      <w:pPr>
        <w:ind w:left="1180" w:right="280" w:hanging="1172"/>
        <w:spacing w:after="0" w:line="266" w:lineRule="auto"/>
        <w:tabs>
          <w:tab w:leader="none" w:pos="1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2600" w:right="460" w:hanging="1166"/>
        <w:spacing w:after="0" w:line="266" w:lineRule="auto"/>
        <w:tabs>
          <w:tab w:leader="none" w:pos="25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2600" w:right="280" w:hanging="1166"/>
        <w:spacing w:after="0" w:line="282" w:lineRule="auto"/>
        <w:tabs>
          <w:tab w:leader="none" w:pos="25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Spice</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3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116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Rocket Lab Corporation (the “Company”) for the period ended March 31, 2026, as filed with the Securities and Exchange Commission on the date hereof (the “Report”), each of the undersigned officers hereby certify, pursuant to Section 906 of the Sarbanes-Oxley Act of 2002, 18 U.S.C. Section 1350, that to their knowledge:</w:t>
      </w:r>
    </w:p>
    <w:p>
      <w:pPr>
        <w:spacing w:after="0" w:line="68" w:lineRule="exact"/>
        <w:rPr>
          <w:sz w:val="20"/>
          <w:szCs w:val="20"/>
          <w:color w:val="auto"/>
        </w:rPr>
      </w:pPr>
    </w:p>
    <w:p>
      <w:pPr>
        <w:ind w:left="1420" w:right="80" w:hanging="246"/>
        <w:spacing w:after="0" w:line="282" w:lineRule="auto"/>
        <w:tabs>
          <w:tab w:leader="none" w:pos="1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420" w:right="220" w:hanging="246"/>
        <w:spacing w:after="0" w:line="282" w:lineRule="auto"/>
        <w:tabs>
          <w:tab w:leader="none" w:pos="1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957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Peter Beck</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957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Adam Spice</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1"/>
    </w:lvl>
  </w:abstractNum>
  <w:abstractNum w:abstractNumId="14">
    <w:nsid w:val="B03E0C6"/>
    <w:multiLevelType w:val="hybridMultilevel"/>
    <w:lvl w:ilvl="0">
      <w:lvlJc w:val="left"/>
      <w:lvlText w:val="%1."/>
      <w:numFmt w:val="decimal"/>
      <w:start w:val="12"/>
    </w:lvl>
  </w:abstractNum>
  <w:abstractNum w:abstractNumId="15">
    <w:nsid w:val="189A769B"/>
    <w:multiLevelType w:val="hybridMultilevel"/>
    <w:lvl w:ilvl="0">
      <w:lvlJc w:val="left"/>
      <w:lvlText w:val="%1."/>
      <w:numFmt w:val="decimal"/>
      <w:start w:val="13"/>
    </w:lvl>
  </w:abstractNum>
  <w:abstractNum w:abstractNumId="16">
    <w:nsid w:val="54E49EB4"/>
    <w:multiLevelType w:val="hybridMultilevel"/>
    <w:lvl w:ilvl="0">
      <w:lvlJc w:val="left"/>
      <w:lvlText w:val="%1."/>
      <w:numFmt w:val="decimal"/>
      <w:start w:val="14"/>
    </w:lvl>
  </w:abstractNum>
  <w:abstractNum w:abstractNumId="17">
    <w:nsid w:val="71F32454"/>
    <w:multiLevelType w:val="hybridMultilevel"/>
    <w:lvl w:ilvl="0">
      <w:lvlJc w:val="left"/>
      <w:lvlText w:val="%1."/>
      <w:numFmt w:val="decimal"/>
      <w:start w:val="15"/>
    </w:lvl>
  </w:abstractNum>
  <w:abstractNum w:abstractNumId="18">
    <w:nsid w:val="2CA88611"/>
    <w:multiLevelType w:val="hybridMultilevel"/>
    <w:lvl w:ilvl="0">
      <w:lvlJc w:val="left"/>
      <w:lvlText w:val="%1."/>
      <w:numFmt w:val="decimal"/>
      <w:start w:val="16"/>
    </w:lvl>
  </w:abstractNum>
  <w:abstractNum w:abstractNumId="19">
    <w:nsid w:val="836C40E"/>
    <w:multiLevelType w:val="hybridMultilevel"/>
    <w:lvl w:ilvl="0">
      <w:lvlJc w:val="left"/>
      <w:lvlText w:val="%1."/>
      <w:numFmt w:val="decimal"/>
      <w:start w:val="17"/>
    </w:lvl>
  </w:abstractNum>
  <w:abstractNum w:abstractNumId="20">
    <w:nsid w:val="2901D82"/>
    <w:multiLevelType w:val="hybridMultilevel"/>
    <w:lvl w:ilvl="0">
      <w:lvlJc w:val="left"/>
      <w:lvlText w:val="%1."/>
      <w:numFmt w:val="decimal"/>
      <w:start w:val="18"/>
    </w:lvl>
  </w:abstractNum>
  <w:abstractNum w:abstractNumId="21">
    <w:nsid w:val="3A95F874"/>
    <w:multiLevelType w:val="hybridMultilevel"/>
    <w:lvl w:ilvl="0">
      <w:lvlJc w:val="left"/>
      <w:lvlText w:val="%1."/>
      <w:numFmt w:val="decimal"/>
      <w:start w:val="19"/>
    </w:lvl>
  </w:abstractNum>
  <w:abstractNum w:abstractNumId="22">
    <w:nsid w:val="8138641"/>
    <w:multiLevelType w:val="hybridMultilevel"/>
    <w:lvl w:ilvl="0">
      <w:lvlJc w:val="left"/>
      <w:lvlText w:val="%1."/>
      <w:numFmt w:val="decimal"/>
      <w:start w:val="20"/>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5"/>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2"/>
    </w:lvl>
    <w:lvl w:ilvl="1">
      <w:lvlJc w:val="left"/>
      <w:lvlText w:val="(%2)"/>
      <w:numFmt w:val="lowerLetter"/>
      <w:start w:val="1"/>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decimal"/>
      <w:start w:val="3"/>
    </w:lvl>
  </w:abstractNum>
  <w:abstractNum w:abstractNumId="34">
    <w:nsid w:val="5072367"/>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2026-05-07T15:40:02Z</dcterms:created>
  <dcterms:modified xsi:type="dcterms:W3CDTF">2026-05-07T15:40:02Z</dcterms:modified>
</cp:coreProperties>
</file>